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CD" w:rsidRPr="00FD7D2E" w:rsidRDefault="00475270" w:rsidP="007F5C2A">
      <w:pPr>
        <w:pStyle w:val="a4"/>
        <w:spacing w:before="0" w:beforeAutospacing="0" w:after="0" w:afterAutospacing="0"/>
        <w:ind w:firstLineChars="200" w:firstLine="640"/>
        <w:jc w:val="both"/>
        <w:rPr>
          <w:rFonts w:ascii="方正黑体_GBK" w:eastAsia="方正黑体_GBK" w:hAnsi="黑体"/>
          <w:sz w:val="32"/>
        </w:rPr>
      </w:pPr>
      <w:r>
        <w:rPr>
          <w:rFonts w:ascii="方正黑体_GBK" w:eastAsia="方正黑体_GBK" w:hAnsi="黑体"/>
          <w:noProof/>
          <w:sz w:val="32"/>
        </w:rPr>
        <w:pict>
          <v:rect id="矩形 4" o:spid="_x0000_s1028" style="position:absolute;left:0;text-align:left;margin-left:-63.95pt;margin-top:5.2pt;width:43.5pt;height:82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" fillcolor="white [3212]" strokecolor="white [3212]" strokeweight="1pt">
            <v:textbox style="layout-flow:vertical-ideographic">
              <w:txbxContent>
                <w:p w:rsidR="004A574A" w:rsidRPr="004A574A" w:rsidRDefault="004A574A" w:rsidP="004A574A">
                  <w:pPr>
                    <w:jc w:val="center"/>
                    <w:rPr>
                      <w:rFonts w:ascii="宋体" w:eastAsia="宋体" w:hAnsi="宋体"/>
                      <w:color w:val="000000" w:themeColor="text1"/>
                      <w:sz w:val="28"/>
                      <w:szCs w:val="28"/>
                    </w:rPr>
                  </w:pPr>
                  <w:r w:rsidRPr="004A574A">
                    <w:rPr>
                      <w:rFonts w:ascii="宋体" w:eastAsia="宋体" w:hAnsi="宋体"/>
                      <w:color w:val="000000" w:themeColor="text1"/>
                      <w:sz w:val="28"/>
                      <w:szCs w:val="28"/>
                    </w:rPr>
                    <w:t xml:space="preserve">— </w:t>
                  </w:r>
                  <w:r w:rsidRPr="004A574A">
                    <w:rPr>
                      <w:rFonts w:ascii="宋体" w:eastAsia="宋体" w:hAnsi="宋体" w:hint="eastAsia"/>
                      <w:color w:val="000000" w:themeColor="text1"/>
                      <w:sz w:val="28"/>
                      <w:szCs w:val="28"/>
                    </w:rPr>
                    <w:t>6</w:t>
                  </w:r>
                  <w:r w:rsidRPr="004A574A">
                    <w:rPr>
                      <w:rFonts w:ascii="宋体" w:eastAsia="宋体" w:hAnsi="宋体"/>
                      <w:color w:val="000000" w:themeColor="text1"/>
                      <w:sz w:val="28"/>
                      <w:szCs w:val="28"/>
                    </w:rPr>
                    <w:t xml:space="preserve"> —</w:t>
                  </w:r>
                </w:p>
              </w:txbxContent>
            </v:textbox>
          </v:rect>
        </w:pict>
      </w:r>
      <w:r w:rsidR="00833FE3" w:rsidRPr="00FD7D2E">
        <w:rPr>
          <w:rFonts w:ascii="方正黑体_GBK" w:eastAsia="方正黑体_GBK" w:hAnsi="黑体" w:hint="eastAsia"/>
          <w:sz w:val="32"/>
        </w:rPr>
        <w:t>附件</w:t>
      </w:r>
    </w:p>
    <w:p w:rsidR="00833FE3" w:rsidRDefault="00833FE3" w:rsidP="00833FE3">
      <w:pPr>
        <w:pStyle w:val="a4"/>
        <w:spacing w:before="0" w:beforeAutospacing="0" w:after="0" w:afterAutospacing="0"/>
        <w:jc w:val="center"/>
        <w:rPr>
          <w:rFonts w:ascii="方正小标宋_GBK" w:eastAsia="方正小标宋_GBK"/>
          <w:sz w:val="40"/>
        </w:rPr>
      </w:pPr>
      <w:r>
        <w:rPr>
          <w:rFonts w:ascii="方正小标宋_GBK" w:eastAsia="方正小标宋_GBK" w:hint="eastAsia"/>
          <w:sz w:val="40"/>
        </w:rPr>
        <w:t>矿山</w:t>
      </w:r>
      <w:r w:rsidR="00DA0901">
        <w:rPr>
          <w:rFonts w:ascii="方正小标宋_GBK" w:eastAsia="方正小标宋_GBK" w:hint="eastAsia"/>
          <w:sz w:val="40"/>
        </w:rPr>
        <w:t>企业矿长、总工程师</w:t>
      </w:r>
      <w:r>
        <w:rPr>
          <w:rFonts w:ascii="方正小标宋_GBK" w:eastAsia="方正小标宋_GBK" w:hint="eastAsia"/>
          <w:sz w:val="40"/>
        </w:rPr>
        <w:t>安全风险管控能力评估表</w:t>
      </w:r>
    </w:p>
    <w:p w:rsidR="00833FE3" w:rsidRPr="00833FE3" w:rsidRDefault="00833FE3" w:rsidP="00833FE3">
      <w:pPr>
        <w:pStyle w:val="a4"/>
        <w:spacing w:before="0" w:beforeAutospacing="0" w:after="0" w:afterAutospacing="0"/>
        <w:ind w:firstLineChars="100" w:firstLine="320"/>
        <w:rPr>
          <w:rFonts w:ascii="方正仿宋_GBK" w:eastAsia="方正仿宋_GBK"/>
          <w:sz w:val="32"/>
        </w:rPr>
      </w:pPr>
      <w:r w:rsidRPr="00833FE3">
        <w:rPr>
          <w:rFonts w:ascii="方正仿宋_GBK" w:eastAsia="方正仿宋_GBK" w:hint="eastAsia"/>
          <w:sz w:val="32"/>
        </w:rPr>
        <w:t>矿山名称：    主要负责人：评估时间：年  月  日</w:t>
      </w:r>
    </w:p>
    <w:tbl>
      <w:tblPr>
        <w:tblStyle w:val="a8"/>
        <w:tblW w:w="12895" w:type="dxa"/>
        <w:tblLook w:val="04A0"/>
      </w:tblPr>
      <w:tblGrid>
        <w:gridCol w:w="941"/>
        <w:gridCol w:w="1181"/>
        <w:gridCol w:w="3827"/>
        <w:gridCol w:w="2551"/>
        <w:gridCol w:w="1560"/>
        <w:gridCol w:w="2835"/>
      </w:tblGrid>
      <w:tr w:rsidR="00127A52" w:rsidRPr="00833FE3" w:rsidTr="004A1B3C">
        <w:trPr>
          <w:trHeight w:val="885"/>
        </w:trPr>
        <w:tc>
          <w:tcPr>
            <w:tcW w:w="941" w:type="dxa"/>
            <w:noWrap/>
            <w:vAlign w:val="center"/>
            <w:hideMark/>
          </w:tcPr>
          <w:p w:rsidR="00833FE3" w:rsidRPr="00833FE3" w:rsidRDefault="00833FE3" w:rsidP="00833FE3">
            <w:pPr>
              <w:pStyle w:val="a4"/>
              <w:jc w:val="center"/>
              <w:rPr>
                <w:rFonts w:ascii="黑体" w:eastAsia="黑体" w:hAnsi="黑体"/>
                <w:sz w:val="32"/>
              </w:rPr>
            </w:pPr>
            <w:r w:rsidRPr="00833FE3">
              <w:rPr>
                <w:rFonts w:ascii="黑体" w:eastAsia="黑体" w:hAnsi="黑体" w:hint="eastAsia"/>
                <w:sz w:val="32"/>
              </w:rPr>
              <w:t>序号</w:t>
            </w:r>
          </w:p>
        </w:tc>
        <w:tc>
          <w:tcPr>
            <w:tcW w:w="1181" w:type="dxa"/>
            <w:noWrap/>
            <w:vAlign w:val="center"/>
            <w:hideMark/>
          </w:tcPr>
          <w:p w:rsidR="00833FE3" w:rsidRPr="00833FE3" w:rsidRDefault="00833FE3" w:rsidP="00833FE3">
            <w:pPr>
              <w:pStyle w:val="a4"/>
              <w:jc w:val="center"/>
              <w:rPr>
                <w:rFonts w:ascii="黑体" w:eastAsia="黑体" w:hAnsi="黑体"/>
                <w:sz w:val="32"/>
              </w:rPr>
            </w:pPr>
            <w:r w:rsidRPr="00833FE3">
              <w:rPr>
                <w:rFonts w:ascii="黑体" w:eastAsia="黑体" w:hAnsi="黑体" w:hint="eastAsia"/>
                <w:sz w:val="32"/>
              </w:rPr>
              <w:t>项目</w:t>
            </w:r>
          </w:p>
        </w:tc>
        <w:tc>
          <w:tcPr>
            <w:tcW w:w="3827" w:type="dxa"/>
            <w:noWrap/>
            <w:vAlign w:val="center"/>
            <w:hideMark/>
          </w:tcPr>
          <w:p w:rsidR="00833FE3" w:rsidRPr="00833FE3" w:rsidRDefault="00833FE3" w:rsidP="00833FE3">
            <w:pPr>
              <w:pStyle w:val="a4"/>
              <w:jc w:val="center"/>
              <w:rPr>
                <w:rFonts w:ascii="黑体" w:eastAsia="黑体" w:hAnsi="黑体"/>
                <w:sz w:val="32"/>
              </w:rPr>
            </w:pPr>
            <w:r w:rsidRPr="00833FE3">
              <w:rPr>
                <w:rFonts w:ascii="黑体" w:eastAsia="黑体" w:hAnsi="黑体" w:hint="eastAsia"/>
                <w:sz w:val="32"/>
              </w:rPr>
              <w:t>检查内容</w:t>
            </w:r>
          </w:p>
        </w:tc>
        <w:tc>
          <w:tcPr>
            <w:tcW w:w="2551" w:type="dxa"/>
            <w:noWrap/>
            <w:vAlign w:val="center"/>
            <w:hideMark/>
          </w:tcPr>
          <w:p w:rsidR="00833FE3" w:rsidRPr="00833FE3" w:rsidRDefault="00833FE3" w:rsidP="00833FE3">
            <w:pPr>
              <w:pStyle w:val="a4"/>
              <w:jc w:val="center"/>
              <w:rPr>
                <w:rFonts w:ascii="黑体" w:eastAsia="黑体" w:hAnsi="黑体"/>
                <w:sz w:val="32"/>
              </w:rPr>
            </w:pPr>
            <w:r w:rsidRPr="00833FE3">
              <w:rPr>
                <w:rFonts w:ascii="黑体" w:eastAsia="黑体" w:hAnsi="黑体" w:hint="eastAsia"/>
                <w:sz w:val="32"/>
              </w:rPr>
              <w:t>检查方法</w:t>
            </w:r>
          </w:p>
        </w:tc>
        <w:tc>
          <w:tcPr>
            <w:tcW w:w="1560" w:type="dxa"/>
            <w:noWrap/>
            <w:vAlign w:val="center"/>
            <w:hideMark/>
          </w:tcPr>
          <w:p w:rsidR="00833FE3" w:rsidRPr="00833FE3" w:rsidRDefault="00833FE3" w:rsidP="00833FE3">
            <w:pPr>
              <w:pStyle w:val="a4"/>
              <w:jc w:val="center"/>
              <w:rPr>
                <w:rFonts w:ascii="黑体" w:eastAsia="黑体" w:hAnsi="黑体"/>
                <w:sz w:val="32"/>
              </w:rPr>
            </w:pPr>
            <w:r w:rsidRPr="00833FE3">
              <w:rPr>
                <w:rFonts w:ascii="黑体" w:eastAsia="黑体" w:hAnsi="黑体" w:hint="eastAsia"/>
                <w:sz w:val="32"/>
              </w:rPr>
              <w:t>检查情况</w:t>
            </w:r>
          </w:p>
        </w:tc>
        <w:tc>
          <w:tcPr>
            <w:tcW w:w="2835" w:type="dxa"/>
            <w:noWrap/>
            <w:vAlign w:val="center"/>
            <w:hideMark/>
          </w:tcPr>
          <w:p w:rsidR="00833FE3" w:rsidRPr="00833FE3" w:rsidRDefault="00833FE3" w:rsidP="00833FE3">
            <w:pPr>
              <w:pStyle w:val="a4"/>
              <w:jc w:val="center"/>
              <w:rPr>
                <w:rFonts w:ascii="黑体" w:eastAsia="黑体" w:hAnsi="黑体"/>
                <w:sz w:val="32"/>
              </w:rPr>
            </w:pPr>
            <w:r w:rsidRPr="00833FE3">
              <w:rPr>
                <w:rFonts w:ascii="黑体" w:eastAsia="黑体" w:hAnsi="黑体" w:hint="eastAsia"/>
                <w:sz w:val="32"/>
              </w:rPr>
              <w:t>评估情况</w:t>
            </w:r>
          </w:p>
        </w:tc>
      </w:tr>
      <w:tr w:rsidR="00127A52" w:rsidRPr="00833FE3" w:rsidTr="00D85648">
        <w:trPr>
          <w:trHeight w:val="901"/>
        </w:trPr>
        <w:tc>
          <w:tcPr>
            <w:tcW w:w="941" w:type="dxa"/>
            <w:vMerge w:val="restart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ind w:firstLineChars="100" w:firstLine="240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一</w:t>
            </w:r>
          </w:p>
        </w:tc>
        <w:tc>
          <w:tcPr>
            <w:tcW w:w="1181" w:type="dxa"/>
            <w:vMerge w:val="restart"/>
            <w:vAlign w:val="center"/>
            <w:hideMark/>
          </w:tcPr>
          <w:p w:rsidR="00833FE3" w:rsidRPr="00FF43FA" w:rsidRDefault="00833FE3" w:rsidP="004A574A">
            <w:pPr>
              <w:pStyle w:val="a4"/>
              <w:spacing w:line="400" w:lineRule="exact"/>
              <w:jc w:val="center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矿长、总工专业能力</w:t>
            </w:r>
          </w:p>
        </w:tc>
        <w:tc>
          <w:tcPr>
            <w:tcW w:w="3827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1.矿长、总工程师安全生产知识和管理能力考核合格情况。</w:t>
            </w:r>
          </w:p>
        </w:tc>
        <w:tc>
          <w:tcPr>
            <w:tcW w:w="2551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检查矿长、总工程师培训合格证。</w:t>
            </w:r>
          </w:p>
        </w:tc>
        <w:tc>
          <w:tcPr>
            <w:tcW w:w="1560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□持证  □未持证</w:t>
            </w:r>
          </w:p>
        </w:tc>
      </w:tr>
      <w:tr w:rsidR="00127A52" w:rsidRPr="00833FE3" w:rsidTr="004A1B3C">
        <w:trPr>
          <w:trHeight w:val="1343"/>
        </w:trPr>
        <w:tc>
          <w:tcPr>
            <w:tcW w:w="941" w:type="dxa"/>
            <w:vMerge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</w:p>
        </w:tc>
        <w:tc>
          <w:tcPr>
            <w:tcW w:w="1181" w:type="dxa"/>
            <w:vMerge/>
            <w:vAlign w:val="center"/>
            <w:hideMark/>
          </w:tcPr>
          <w:p w:rsidR="00833FE3" w:rsidRPr="00FF43FA" w:rsidRDefault="00833FE3" w:rsidP="004A574A">
            <w:pPr>
              <w:pStyle w:val="a4"/>
              <w:spacing w:line="400" w:lineRule="exact"/>
              <w:jc w:val="center"/>
              <w:rPr>
                <w:rFonts w:ascii="方正仿宋_GBK" w:eastAsia="方正仿宋_GBK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2.建立健全矿长、总工程师安全生产责任制，熟知《安全生产法》规定的矿长、总工程师安全职责情况。</w:t>
            </w:r>
          </w:p>
        </w:tc>
        <w:tc>
          <w:tcPr>
            <w:tcW w:w="2551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现场抽查、抽问。</w:t>
            </w:r>
          </w:p>
        </w:tc>
        <w:tc>
          <w:tcPr>
            <w:tcW w:w="1560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□好□一般□差</w:t>
            </w:r>
          </w:p>
        </w:tc>
      </w:tr>
      <w:tr w:rsidR="00127A52" w:rsidRPr="00833FE3" w:rsidTr="00D85648">
        <w:trPr>
          <w:trHeight w:val="933"/>
        </w:trPr>
        <w:tc>
          <w:tcPr>
            <w:tcW w:w="941" w:type="dxa"/>
            <w:vMerge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</w:p>
        </w:tc>
        <w:tc>
          <w:tcPr>
            <w:tcW w:w="1181" w:type="dxa"/>
            <w:vMerge/>
            <w:vAlign w:val="center"/>
            <w:hideMark/>
          </w:tcPr>
          <w:p w:rsidR="00833FE3" w:rsidRPr="00FF43FA" w:rsidRDefault="00833FE3" w:rsidP="004A574A">
            <w:pPr>
              <w:pStyle w:val="a4"/>
              <w:spacing w:line="400" w:lineRule="exact"/>
              <w:jc w:val="center"/>
              <w:rPr>
                <w:rFonts w:ascii="方正仿宋_GBK" w:eastAsia="方正仿宋_GBK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3.矿长、总工程师学历、专业及矿山从业经历情况。</w:t>
            </w:r>
          </w:p>
        </w:tc>
        <w:tc>
          <w:tcPr>
            <w:tcW w:w="2551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现场抽查、询问。</w:t>
            </w:r>
          </w:p>
        </w:tc>
        <w:tc>
          <w:tcPr>
            <w:tcW w:w="1560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□合格□不合格</w:t>
            </w:r>
          </w:p>
        </w:tc>
      </w:tr>
      <w:tr w:rsidR="00127A52" w:rsidRPr="00833FE3" w:rsidTr="00D85648">
        <w:trPr>
          <w:trHeight w:val="1413"/>
        </w:trPr>
        <w:tc>
          <w:tcPr>
            <w:tcW w:w="941" w:type="dxa"/>
            <w:vMerge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</w:p>
        </w:tc>
        <w:tc>
          <w:tcPr>
            <w:tcW w:w="1181" w:type="dxa"/>
            <w:vMerge/>
            <w:vAlign w:val="center"/>
            <w:hideMark/>
          </w:tcPr>
          <w:p w:rsidR="00833FE3" w:rsidRPr="00FF43FA" w:rsidRDefault="00833FE3" w:rsidP="004A574A">
            <w:pPr>
              <w:pStyle w:val="a4"/>
              <w:spacing w:line="400" w:lineRule="exact"/>
              <w:jc w:val="center"/>
              <w:rPr>
                <w:rFonts w:ascii="方正仿宋_GBK" w:eastAsia="方正仿宋_GBK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4.组织制定和实施本矿山企业安全生产管理等制度，定期组织召开安全办公会议。</w:t>
            </w:r>
          </w:p>
        </w:tc>
        <w:tc>
          <w:tcPr>
            <w:tcW w:w="2551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抽查安全制度、安全办公会议纪要。</w:t>
            </w:r>
          </w:p>
        </w:tc>
        <w:tc>
          <w:tcPr>
            <w:tcW w:w="1560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□好□一般□差</w:t>
            </w:r>
          </w:p>
        </w:tc>
      </w:tr>
      <w:tr w:rsidR="00127A52" w:rsidRPr="00833FE3" w:rsidTr="004A1B3C">
        <w:trPr>
          <w:trHeight w:val="1118"/>
        </w:trPr>
        <w:tc>
          <w:tcPr>
            <w:tcW w:w="941" w:type="dxa"/>
            <w:vMerge w:val="restart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ind w:firstLineChars="100" w:firstLine="240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二</w:t>
            </w:r>
          </w:p>
        </w:tc>
        <w:tc>
          <w:tcPr>
            <w:tcW w:w="1181" w:type="dxa"/>
            <w:vMerge w:val="restart"/>
            <w:vAlign w:val="center"/>
            <w:hideMark/>
          </w:tcPr>
          <w:p w:rsidR="00833FE3" w:rsidRPr="00FF43FA" w:rsidRDefault="00833FE3" w:rsidP="004A574A">
            <w:pPr>
              <w:pStyle w:val="a4"/>
              <w:spacing w:line="400" w:lineRule="exact"/>
              <w:jc w:val="center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风险管控能力</w:t>
            </w:r>
          </w:p>
        </w:tc>
        <w:tc>
          <w:tcPr>
            <w:tcW w:w="3827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1.熟知本矿山企业重大安全风险和管控措施。</w:t>
            </w:r>
          </w:p>
        </w:tc>
        <w:tc>
          <w:tcPr>
            <w:tcW w:w="2551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对照《非煤矿山风险管控指南》抽问</w:t>
            </w:r>
          </w:p>
        </w:tc>
        <w:tc>
          <w:tcPr>
            <w:tcW w:w="1560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□好□一般□差</w:t>
            </w:r>
          </w:p>
        </w:tc>
      </w:tr>
      <w:tr w:rsidR="00127A52" w:rsidRPr="00833FE3" w:rsidTr="00D85648">
        <w:trPr>
          <w:trHeight w:val="1698"/>
        </w:trPr>
        <w:tc>
          <w:tcPr>
            <w:tcW w:w="941" w:type="dxa"/>
            <w:vMerge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</w:p>
        </w:tc>
        <w:tc>
          <w:tcPr>
            <w:tcW w:w="1181" w:type="dxa"/>
            <w:vMerge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2.矿长或总工程师每月至少召开一次风险分析会，对矿山安全风险管控措施有效性进行分析，及时补充完善风险管控措施。</w:t>
            </w:r>
          </w:p>
        </w:tc>
        <w:tc>
          <w:tcPr>
            <w:tcW w:w="2551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检查相关记录</w:t>
            </w:r>
          </w:p>
        </w:tc>
        <w:tc>
          <w:tcPr>
            <w:tcW w:w="1560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□好□一般□差</w:t>
            </w:r>
          </w:p>
        </w:tc>
      </w:tr>
      <w:tr w:rsidR="00127A52" w:rsidRPr="00833FE3" w:rsidTr="00D85648">
        <w:trPr>
          <w:trHeight w:val="1821"/>
        </w:trPr>
        <w:tc>
          <w:tcPr>
            <w:tcW w:w="941" w:type="dxa"/>
            <w:vMerge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</w:p>
        </w:tc>
        <w:tc>
          <w:tcPr>
            <w:tcW w:w="1181" w:type="dxa"/>
            <w:vMerge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3.矿山从业人员熟知本岗位安全风险，熟悉安全操作规程，掌握本岗位安全操作技能，了解应急处置措施的情况。</w:t>
            </w:r>
          </w:p>
        </w:tc>
        <w:tc>
          <w:tcPr>
            <w:tcW w:w="2551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抽查相关从业人员</w:t>
            </w:r>
          </w:p>
        </w:tc>
        <w:tc>
          <w:tcPr>
            <w:tcW w:w="1560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□好□一般□差</w:t>
            </w:r>
          </w:p>
        </w:tc>
      </w:tr>
      <w:tr w:rsidR="00127A52" w:rsidRPr="00833FE3" w:rsidTr="004A1B3C">
        <w:trPr>
          <w:trHeight w:val="870"/>
        </w:trPr>
        <w:tc>
          <w:tcPr>
            <w:tcW w:w="941" w:type="dxa"/>
            <w:vMerge w:val="restart"/>
            <w:vAlign w:val="center"/>
            <w:hideMark/>
          </w:tcPr>
          <w:p w:rsidR="00833FE3" w:rsidRPr="00FF43FA" w:rsidRDefault="00475270" w:rsidP="0077665A">
            <w:pPr>
              <w:pStyle w:val="a4"/>
              <w:spacing w:line="400" w:lineRule="exact"/>
              <w:ind w:firstLineChars="100" w:firstLine="240"/>
              <w:jc w:val="both"/>
              <w:rPr>
                <w:rFonts w:ascii="方正仿宋_GBK" w:eastAsia="方正仿宋_GBK"/>
                <w:szCs w:val="28"/>
              </w:rPr>
            </w:pPr>
            <w:r>
              <w:rPr>
                <w:rFonts w:ascii="方正仿宋_GBK" w:eastAsia="方正仿宋_GBK"/>
                <w:noProof/>
                <w:szCs w:val="28"/>
              </w:rPr>
              <w:pict>
                <v:rect id="矩形 5" o:spid="_x0000_s1029" style="position:absolute;left:0;text-align:left;margin-left:-65.4pt;margin-top:80.1pt;width:47.25pt;height:68.2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" fillcolor="white [3212]" strokecolor="white [3212]" strokeweight="1pt">
                  <v:textbox style="layout-flow:vertical-ideographic">
                    <w:txbxContent>
                      <w:p w:rsidR="000B0AD5" w:rsidRPr="000B0AD5" w:rsidRDefault="000B0AD5" w:rsidP="000B0AD5">
                        <w:pPr>
                          <w:jc w:val="center"/>
                          <w:rPr>
                            <w:rFonts w:ascii="宋体" w:eastAsia="宋体" w:hAnsi="宋体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0B0AD5">
                          <w:rPr>
                            <w:rFonts w:ascii="宋体" w:eastAsia="宋体" w:hAnsi="宋体"/>
                            <w:color w:val="000000" w:themeColor="text1"/>
                            <w:sz w:val="28"/>
                            <w:szCs w:val="28"/>
                          </w:rPr>
                          <w:t>— 7 —</w:t>
                        </w:r>
                      </w:p>
                    </w:txbxContent>
                  </v:textbox>
                </v:rect>
              </w:pict>
            </w:r>
            <w:r w:rsidR="00833FE3" w:rsidRPr="00FF43FA">
              <w:rPr>
                <w:rFonts w:ascii="方正仿宋_GBK" w:eastAsia="方正仿宋_GBK" w:hint="eastAsia"/>
                <w:szCs w:val="28"/>
              </w:rPr>
              <w:t>三</w:t>
            </w:r>
          </w:p>
        </w:tc>
        <w:tc>
          <w:tcPr>
            <w:tcW w:w="1181" w:type="dxa"/>
            <w:vMerge w:val="restart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隐患排查治理能力</w:t>
            </w:r>
          </w:p>
        </w:tc>
        <w:tc>
          <w:tcPr>
            <w:tcW w:w="3827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1.制定并落实隐患排查治理制度。</w:t>
            </w:r>
          </w:p>
        </w:tc>
        <w:tc>
          <w:tcPr>
            <w:tcW w:w="2551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检查相关制度、台帐</w:t>
            </w:r>
          </w:p>
        </w:tc>
        <w:tc>
          <w:tcPr>
            <w:tcW w:w="1560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□好□一般□差</w:t>
            </w:r>
          </w:p>
        </w:tc>
      </w:tr>
      <w:tr w:rsidR="00127A52" w:rsidRPr="00833FE3" w:rsidTr="00B9693F">
        <w:trPr>
          <w:trHeight w:val="1733"/>
        </w:trPr>
        <w:tc>
          <w:tcPr>
            <w:tcW w:w="941" w:type="dxa"/>
            <w:vMerge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</w:p>
        </w:tc>
        <w:tc>
          <w:tcPr>
            <w:tcW w:w="1181" w:type="dxa"/>
            <w:vMerge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2.</w:t>
            </w:r>
            <w:r w:rsidR="00C55C0C">
              <w:rPr>
                <w:rFonts w:ascii="方正仿宋_GBK" w:eastAsia="方正仿宋_GBK" w:hint="eastAsia"/>
                <w:szCs w:val="28"/>
              </w:rPr>
              <w:t>按照“五定”原则，整改消除监察监管部门下达文书的隐患</w:t>
            </w:r>
            <w:r w:rsidRPr="00FF43FA">
              <w:rPr>
                <w:rFonts w:ascii="方正仿宋_GBK" w:eastAsia="方正仿宋_GBK" w:hint="eastAsia"/>
                <w:szCs w:val="28"/>
              </w:rPr>
              <w:t>，杜绝隐患重复出现。</w:t>
            </w:r>
          </w:p>
        </w:tc>
        <w:tc>
          <w:tcPr>
            <w:tcW w:w="2551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检查监察监管部门下达文书、矿山企业隐患整改台帐、现场抽查</w:t>
            </w:r>
          </w:p>
        </w:tc>
        <w:tc>
          <w:tcPr>
            <w:tcW w:w="1560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□好□一般□差</w:t>
            </w:r>
          </w:p>
        </w:tc>
      </w:tr>
      <w:tr w:rsidR="00127A52" w:rsidRPr="00833FE3" w:rsidTr="00D85648">
        <w:trPr>
          <w:trHeight w:val="1757"/>
        </w:trPr>
        <w:tc>
          <w:tcPr>
            <w:tcW w:w="941" w:type="dxa"/>
            <w:vMerge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</w:p>
        </w:tc>
        <w:tc>
          <w:tcPr>
            <w:tcW w:w="1181" w:type="dxa"/>
            <w:vMerge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3.</w:t>
            </w:r>
            <w:r w:rsidR="0077665A" w:rsidRPr="00FF43FA">
              <w:rPr>
                <w:rFonts w:ascii="方正仿宋_GBK" w:eastAsia="方正仿宋_GBK" w:hint="eastAsia"/>
                <w:szCs w:val="28"/>
              </w:rPr>
              <w:t>每月对照</w:t>
            </w:r>
            <w:r w:rsidR="00C55C0C">
              <w:rPr>
                <w:rFonts w:ascii="方正仿宋_GBK" w:eastAsia="方正仿宋_GBK" w:hint="eastAsia"/>
                <w:szCs w:val="28"/>
              </w:rPr>
              <w:t>《</w:t>
            </w:r>
            <w:r w:rsidR="0077665A" w:rsidRPr="00FF43FA">
              <w:rPr>
                <w:rFonts w:ascii="方正仿宋_GBK" w:eastAsia="方正仿宋_GBK" w:hint="eastAsia"/>
                <w:szCs w:val="28"/>
              </w:rPr>
              <w:t>金属非金属矿山重大事故隐患判定标准</w:t>
            </w:r>
            <w:r w:rsidR="00C55C0C">
              <w:rPr>
                <w:rFonts w:ascii="方正仿宋_GBK" w:eastAsia="方正仿宋_GBK" w:hint="eastAsia"/>
                <w:szCs w:val="28"/>
              </w:rPr>
              <w:t>》</w:t>
            </w:r>
            <w:r w:rsidR="0077665A" w:rsidRPr="00FF43FA">
              <w:rPr>
                <w:rFonts w:ascii="方正仿宋_GBK" w:eastAsia="方正仿宋_GBK" w:hint="eastAsia"/>
                <w:szCs w:val="28"/>
              </w:rPr>
              <w:t>，组织开展全面排查，并形成重大事故隐患排查治理报告情况。</w:t>
            </w:r>
          </w:p>
        </w:tc>
        <w:tc>
          <w:tcPr>
            <w:tcW w:w="2551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检查隐患整改台帐。</w:t>
            </w:r>
          </w:p>
        </w:tc>
        <w:tc>
          <w:tcPr>
            <w:tcW w:w="1560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□好□一般□差</w:t>
            </w:r>
          </w:p>
        </w:tc>
      </w:tr>
      <w:tr w:rsidR="00127A52" w:rsidRPr="00833FE3" w:rsidTr="00D85648">
        <w:trPr>
          <w:trHeight w:val="990"/>
        </w:trPr>
        <w:tc>
          <w:tcPr>
            <w:tcW w:w="941" w:type="dxa"/>
            <w:vMerge w:val="restart"/>
            <w:vAlign w:val="center"/>
            <w:hideMark/>
          </w:tcPr>
          <w:p w:rsidR="00833FE3" w:rsidRPr="00FF43FA" w:rsidRDefault="00833FE3" w:rsidP="000B0AD5">
            <w:pPr>
              <w:pStyle w:val="a4"/>
              <w:spacing w:line="400" w:lineRule="exact"/>
              <w:ind w:firstLineChars="100" w:firstLine="240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lastRenderedPageBreak/>
              <w:t>四</w:t>
            </w:r>
          </w:p>
        </w:tc>
        <w:tc>
          <w:tcPr>
            <w:tcW w:w="1181" w:type="dxa"/>
            <w:vMerge w:val="restart"/>
            <w:vAlign w:val="center"/>
            <w:hideMark/>
          </w:tcPr>
          <w:p w:rsidR="00833FE3" w:rsidRPr="00FF43FA" w:rsidRDefault="00833FE3" w:rsidP="000B0AD5">
            <w:pPr>
              <w:pStyle w:val="a4"/>
              <w:spacing w:line="400" w:lineRule="exact"/>
              <w:jc w:val="center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矿级领导下井带班情况</w:t>
            </w:r>
            <w:r w:rsidR="007F5C2A" w:rsidRPr="00FF43FA">
              <w:rPr>
                <w:rFonts w:ascii="方正仿宋_GBK" w:eastAsia="方正仿宋_GBK" w:hint="eastAsia"/>
                <w:szCs w:val="28"/>
              </w:rPr>
              <w:t>（地下矿山）</w:t>
            </w:r>
          </w:p>
        </w:tc>
        <w:tc>
          <w:tcPr>
            <w:tcW w:w="3827" w:type="dxa"/>
            <w:vAlign w:val="center"/>
            <w:hideMark/>
          </w:tcPr>
          <w:p w:rsidR="00833FE3" w:rsidRPr="00FF43FA" w:rsidRDefault="00833FE3" w:rsidP="000B0AD5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1.建立并落实领导带班下井制度。</w:t>
            </w:r>
          </w:p>
        </w:tc>
        <w:tc>
          <w:tcPr>
            <w:tcW w:w="2551" w:type="dxa"/>
            <w:vAlign w:val="center"/>
            <w:hideMark/>
          </w:tcPr>
          <w:p w:rsidR="00833FE3" w:rsidRPr="00FF43FA" w:rsidRDefault="00833FE3" w:rsidP="000B0AD5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检查相关制度</w:t>
            </w:r>
          </w:p>
        </w:tc>
        <w:tc>
          <w:tcPr>
            <w:tcW w:w="1560" w:type="dxa"/>
            <w:vAlign w:val="center"/>
            <w:hideMark/>
          </w:tcPr>
          <w:p w:rsidR="00833FE3" w:rsidRPr="00FF43FA" w:rsidRDefault="00833FE3" w:rsidP="000B0AD5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:rsidR="00833FE3" w:rsidRPr="00FF43FA" w:rsidRDefault="00833FE3" w:rsidP="000B0AD5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□好□一般□差</w:t>
            </w:r>
          </w:p>
        </w:tc>
      </w:tr>
      <w:tr w:rsidR="00127A52" w:rsidRPr="00833FE3" w:rsidTr="0090156D">
        <w:trPr>
          <w:trHeight w:val="1259"/>
        </w:trPr>
        <w:tc>
          <w:tcPr>
            <w:tcW w:w="941" w:type="dxa"/>
            <w:vMerge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</w:p>
        </w:tc>
        <w:tc>
          <w:tcPr>
            <w:tcW w:w="1181" w:type="dxa"/>
            <w:vMerge/>
            <w:vAlign w:val="center"/>
            <w:hideMark/>
          </w:tcPr>
          <w:p w:rsidR="00833FE3" w:rsidRPr="00FF43FA" w:rsidRDefault="00833FE3" w:rsidP="004A574A">
            <w:pPr>
              <w:pStyle w:val="a4"/>
              <w:spacing w:line="400" w:lineRule="exact"/>
              <w:jc w:val="center"/>
              <w:rPr>
                <w:rFonts w:ascii="方正仿宋_GBK" w:eastAsia="方正仿宋_GBK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2.制定矿山企业领导带班下井月计划，并在办公楼及矿井井口进行公告。</w:t>
            </w:r>
          </w:p>
        </w:tc>
        <w:tc>
          <w:tcPr>
            <w:tcW w:w="2551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现场抽查</w:t>
            </w:r>
          </w:p>
        </w:tc>
        <w:tc>
          <w:tcPr>
            <w:tcW w:w="1560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□好□一般□差</w:t>
            </w:r>
          </w:p>
        </w:tc>
      </w:tr>
      <w:tr w:rsidR="00127A52" w:rsidRPr="00833FE3" w:rsidTr="004A1B3C">
        <w:trPr>
          <w:trHeight w:val="1092"/>
        </w:trPr>
        <w:tc>
          <w:tcPr>
            <w:tcW w:w="941" w:type="dxa"/>
            <w:vMerge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</w:p>
        </w:tc>
        <w:tc>
          <w:tcPr>
            <w:tcW w:w="1181" w:type="dxa"/>
            <w:vMerge/>
            <w:vAlign w:val="center"/>
            <w:hideMark/>
          </w:tcPr>
          <w:p w:rsidR="00833FE3" w:rsidRPr="00FF43FA" w:rsidRDefault="00833FE3" w:rsidP="004A574A">
            <w:pPr>
              <w:pStyle w:val="a4"/>
              <w:spacing w:line="400" w:lineRule="exact"/>
              <w:jc w:val="center"/>
              <w:rPr>
                <w:rFonts w:ascii="方正仿宋_GBK" w:eastAsia="方正仿宋_GBK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3.矿山企业领导应当按规定带班下井，并填写下井交接班记录。</w:t>
            </w:r>
          </w:p>
        </w:tc>
        <w:tc>
          <w:tcPr>
            <w:tcW w:w="2551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抽查相关记录</w:t>
            </w:r>
          </w:p>
        </w:tc>
        <w:tc>
          <w:tcPr>
            <w:tcW w:w="1560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□好□一般□差</w:t>
            </w:r>
          </w:p>
        </w:tc>
      </w:tr>
      <w:tr w:rsidR="00127A52" w:rsidRPr="00833FE3" w:rsidTr="0090156D">
        <w:trPr>
          <w:trHeight w:val="867"/>
        </w:trPr>
        <w:tc>
          <w:tcPr>
            <w:tcW w:w="941" w:type="dxa"/>
            <w:vMerge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</w:p>
        </w:tc>
        <w:tc>
          <w:tcPr>
            <w:tcW w:w="1181" w:type="dxa"/>
            <w:vMerge/>
            <w:vAlign w:val="center"/>
            <w:hideMark/>
          </w:tcPr>
          <w:p w:rsidR="00833FE3" w:rsidRPr="00FF43FA" w:rsidRDefault="00833FE3" w:rsidP="004A574A">
            <w:pPr>
              <w:pStyle w:val="a4"/>
              <w:spacing w:line="400" w:lineRule="exact"/>
              <w:jc w:val="center"/>
              <w:rPr>
                <w:rFonts w:ascii="方正仿宋_GBK" w:eastAsia="方正仿宋_GBK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4.当月带班下井完成情况应当公示。</w:t>
            </w:r>
          </w:p>
        </w:tc>
        <w:tc>
          <w:tcPr>
            <w:tcW w:w="2551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现场抽查</w:t>
            </w:r>
          </w:p>
        </w:tc>
        <w:tc>
          <w:tcPr>
            <w:tcW w:w="1560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□好□一般□差</w:t>
            </w:r>
          </w:p>
        </w:tc>
      </w:tr>
      <w:tr w:rsidR="00127A52" w:rsidRPr="00833FE3" w:rsidTr="004A1B3C">
        <w:trPr>
          <w:trHeight w:val="623"/>
        </w:trPr>
        <w:tc>
          <w:tcPr>
            <w:tcW w:w="941" w:type="dxa"/>
            <w:vMerge w:val="restart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ind w:firstLineChars="100" w:firstLine="240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五</w:t>
            </w:r>
          </w:p>
        </w:tc>
        <w:tc>
          <w:tcPr>
            <w:tcW w:w="1181" w:type="dxa"/>
            <w:vMerge w:val="restart"/>
            <w:vAlign w:val="center"/>
            <w:hideMark/>
          </w:tcPr>
          <w:p w:rsidR="00833FE3" w:rsidRPr="00FF43FA" w:rsidRDefault="00833FE3" w:rsidP="004A574A">
            <w:pPr>
              <w:pStyle w:val="a4"/>
              <w:spacing w:line="400" w:lineRule="exact"/>
              <w:jc w:val="center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否决项</w:t>
            </w:r>
          </w:p>
        </w:tc>
        <w:tc>
          <w:tcPr>
            <w:tcW w:w="3827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1.未配备专职矿长、总工程师的。</w:t>
            </w:r>
          </w:p>
        </w:tc>
        <w:tc>
          <w:tcPr>
            <w:tcW w:w="2551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现场检查</w:t>
            </w:r>
          </w:p>
        </w:tc>
        <w:tc>
          <w:tcPr>
            <w:tcW w:w="1560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□合格□不合格</w:t>
            </w:r>
          </w:p>
        </w:tc>
      </w:tr>
      <w:tr w:rsidR="00127A52" w:rsidRPr="00833FE3" w:rsidTr="004A1B3C">
        <w:trPr>
          <w:trHeight w:val="960"/>
        </w:trPr>
        <w:tc>
          <w:tcPr>
            <w:tcW w:w="941" w:type="dxa"/>
            <w:vMerge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</w:p>
        </w:tc>
        <w:tc>
          <w:tcPr>
            <w:tcW w:w="1181" w:type="dxa"/>
            <w:vMerge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2.矿长、总工程师不掌握本矿山企业重大风险情形及管控措施的。</w:t>
            </w:r>
          </w:p>
        </w:tc>
        <w:tc>
          <w:tcPr>
            <w:tcW w:w="2551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现场抽问</w:t>
            </w:r>
          </w:p>
        </w:tc>
        <w:tc>
          <w:tcPr>
            <w:tcW w:w="1560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□好□一般□差</w:t>
            </w:r>
          </w:p>
        </w:tc>
      </w:tr>
      <w:tr w:rsidR="00840832" w:rsidRPr="00833FE3" w:rsidTr="00B0532B">
        <w:trPr>
          <w:trHeight w:val="529"/>
        </w:trPr>
        <w:tc>
          <w:tcPr>
            <w:tcW w:w="2122" w:type="dxa"/>
            <w:gridSpan w:val="2"/>
            <w:vAlign w:val="center"/>
            <w:hideMark/>
          </w:tcPr>
          <w:p w:rsidR="00840832" w:rsidRPr="00FF43FA" w:rsidRDefault="00840832" w:rsidP="00840832">
            <w:pPr>
              <w:pStyle w:val="a4"/>
              <w:spacing w:line="400" w:lineRule="exact"/>
              <w:ind w:firstLineChars="100" w:firstLine="240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综合评估</w:t>
            </w:r>
          </w:p>
        </w:tc>
        <w:tc>
          <w:tcPr>
            <w:tcW w:w="10773" w:type="dxa"/>
            <w:gridSpan w:val="4"/>
            <w:vAlign w:val="center"/>
            <w:hideMark/>
          </w:tcPr>
          <w:p w:rsidR="00840832" w:rsidRPr="00FF43FA" w:rsidRDefault="00840832" w:rsidP="00840832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□好      □一般  □差</w:t>
            </w:r>
          </w:p>
        </w:tc>
      </w:tr>
      <w:tr w:rsidR="00833FE3" w:rsidRPr="00833FE3" w:rsidTr="004A1B3C">
        <w:trPr>
          <w:trHeight w:val="972"/>
        </w:trPr>
        <w:tc>
          <w:tcPr>
            <w:tcW w:w="12895" w:type="dxa"/>
            <w:gridSpan w:val="6"/>
            <w:noWrap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jc w:val="both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检查评估人员</w:t>
            </w:r>
            <w:r w:rsidR="00127A52" w:rsidRPr="00FF43FA">
              <w:rPr>
                <w:rFonts w:ascii="方正仿宋_GBK" w:eastAsia="方正仿宋_GBK" w:hint="eastAsia"/>
                <w:szCs w:val="28"/>
              </w:rPr>
              <w:t>（签字）</w:t>
            </w:r>
            <w:r w:rsidRPr="00FF43FA">
              <w:rPr>
                <w:rFonts w:ascii="方正仿宋_GBK" w:eastAsia="方正仿宋_GBK" w:hint="eastAsia"/>
                <w:szCs w:val="28"/>
              </w:rPr>
              <w:t xml:space="preserve">：                                                                                                                             </w:t>
            </w:r>
          </w:p>
        </w:tc>
      </w:tr>
      <w:tr w:rsidR="00833FE3" w:rsidRPr="00833FE3" w:rsidTr="002B0131">
        <w:trPr>
          <w:trHeight w:val="965"/>
        </w:trPr>
        <w:tc>
          <w:tcPr>
            <w:tcW w:w="12895" w:type="dxa"/>
            <w:gridSpan w:val="6"/>
            <w:vAlign w:val="center"/>
            <w:hideMark/>
          </w:tcPr>
          <w:p w:rsidR="00833FE3" w:rsidRPr="00FF43FA" w:rsidRDefault="00833FE3" w:rsidP="0077665A">
            <w:pPr>
              <w:pStyle w:val="a4"/>
              <w:spacing w:line="400" w:lineRule="exact"/>
              <w:rPr>
                <w:rFonts w:ascii="方正仿宋_GBK" w:eastAsia="方正仿宋_GBK"/>
                <w:szCs w:val="28"/>
              </w:rPr>
            </w:pPr>
            <w:r w:rsidRPr="00FF43FA">
              <w:rPr>
                <w:rFonts w:ascii="方正仿宋_GBK" w:eastAsia="方正仿宋_GBK" w:hint="eastAsia"/>
                <w:szCs w:val="28"/>
              </w:rPr>
              <w:t>说明：1.综合评估为“差”的，责令矿山企业调整矿长或者总工程师；</w:t>
            </w:r>
            <w:r w:rsidR="00127A52" w:rsidRPr="00FF43FA">
              <w:rPr>
                <w:rFonts w:ascii="方正仿宋_GBK" w:eastAsia="方正仿宋_GBK" w:hint="eastAsia"/>
                <w:szCs w:val="28"/>
              </w:rPr>
              <w:br/>
            </w:r>
            <w:r w:rsidRPr="00FF43FA">
              <w:rPr>
                <w:rFonts w:ascii="方正仿宋_GBK" w:eastAsia="方正仿宋_GBK" w:hint="eastAsia"/>
                <w:szCs w:val="28"/>
              </w:rPr>
              <w:t>2.矿山企业在未重新配备专职矿长或者总工程师前，不得组织生产建设。</w:t>
            </w:r>
          </w:p>
        </w:tc>
      </w:tr>
    </w:tbl>
    <w:p w:rsidR="00F52F24" w:rsidRDefault="00475270" w:rsidP="00F52F24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kern w:val="0"/>
          <w:sz w:val="20"/>
          <w:szCs w:val="20"/>
          <w:lang/>
        </w:rPr>
        <w:sectPr w:rsidR="00F52F24" w:rsidSect="008242CD">
          <w:headerReference w:type="even" r:id="rId7"/>
          <w:headerReference w:type="default" r:id="rId8"/>
          <w:footerReference w:type="even" r:id="rId9"/>
          <w:footerReference w:type="default" r:id="rId10"/>
          <w:pgSz w:w="16838" w:h="11906" w:orient="landscape"/>
          <w:pgMar w:top="1531" w:right="2098" w:bottom="1588" w:left="1985" w:header="851" w:footer="992" w:gutter="0"/>
          <w:pgNumType w:fmt="numberInDash"/>
          <w:cols w:space="425"/>
          <w:docGrid w:type="lines" w:linePitch="312"/>
        </w:sectPr>
      </w:pPr>
      <w:r>
        <w:rPr>
          <w:rFonts w:ascii="Times New Roman" w:eastAsia="方正黑体_GBK" w:hAnsi="Times New Roman" w:cs="Times New Roman"/>
          <w:noProof/>
          <w:kern w:val="0"/>
          <w:sz w:val="20"/>
          <w:szCs w:val="20"/>
        </w:rPr>
        <w:pict>
          <v:rect id="矩形 6" o:spid="_x0000_s1030" style="position:absolute;margin-left:-60.25pt;margin-top:-414.15pt;width:42.75pt;height:78pt;z-index:25166438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" fillcolor="white [3212]" strokecolor="white [3212]" strokeweight="1pt">
            <v:textbox style="layout-flow:vertical-ideographic">
              <w:txbxContent>
                <w:p w:rsidR="000B0AD5" w:rsidRPr="000B0AD5" w:rsidRDefault="000B0AD5" w:rsidP="000B0AD5">
                  <w:pPr>
                    <w:jc w:val="center"/>
                    <w:rPr>
                      <w:rFonts w:ascii="宋体" w:eastAsia="宋体" w:hAnsi="宋体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/>
                      <w:color w:val="000000" w:themeColor="text1"/>
                      <w:sz w:val="28"/>
                      <w:szCs w:val="28"/>
                    </w:rPr>
                    <w:t xml:space="preserve">— </w:t>
                  </w:r>
                  <w:r w:rsidRPr="000B0AD5">
                    <w:rPr>
                      <w:rFonts w:ascii="宋体" w:eastAsia="宋体" w:hAnsi="宋体" w:hint="eastAsia"/>
                      <w:color w:val="000000" w:themeColor="text1"/>
                      <w:sz w:val="28"/>
                      <w:szCs w:val="28"/>
                    </w:rPr>
                    <w:t>8</w:t>
                  </w:r>
                  <w:r>
                    <w:rPr>
                      <w:rFonts w:ascii="宋体" w:eastAsia="宋体" w:hAnsi="宋体"/>
                      <w:color w:val="000000" w:themeColor="text1"/>
                      <w:sz w:val="28"/>
                      <w:szCs w:val="28"/>
                    </w:rPr>
                    <w:t xml:space="preserve"> —</w:t>
                  </w:r>
                </w:p>
              </w:txbxContent>
            </v:textbox>
          </v:rect>
        </w:pict>
      </w:r>
    </w:p>
    <w:p w:rsidR="00F52F24" w:rsidRDefault="00F52F24" w:rsidP="00F52F24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kern w:val="0"/>
          <w:sz w:val="20"/>
          <w:szCs w:val="20"/>
          <w:lang/>
        </w:rPr>
      </w:pPr>
    </w:p>
    <w:p w:rsidR="00F52F24" w:rsidRDefault="00F52F24" w:rsidP="00F52F24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kern w:val="0"/>
          <w:sz w:val="20"/>
          <w:szCs w:val="20"/>
          <w:lang/>
        </w:rPr>
      </w:pPr>
    </w:p>
    <w:p w:rsidR="00F52F24" w:rsidRDefault="00F52F24" w:rsidP="00F52F24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kern w:val="0"/>
          <w:sz w:val="20"/>
          <w:szCs w:val="20"/>
          <w:lang/>
        </w:rPr>
      </w:pPr>
    </w:p>
    <w:p w:rsidR="00F52F24" w:rsidRDefault="00F52F24" w:rsidP="00F52F24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kern w:val="0"/>
          <w:sz w:val="20"/>
          <w:szCs w:val="20"/>
          <w:lang/>
        </w:rPr>
      </w:pPr>
    </w:p>
    <w:p w:rsidR="00F52F24" w:rsidRDefault="00F52F24" w:rsidP="00F52F24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kern w:val="0"/>
          <w:sz w:val="20"/>
          <w:szCs w:val="20"/>
          <w:lang/>
        </w:rPr>
      </w:pPr>
    </w:p>
    <w:p w:rsidR="00F52F24" w:rsidRDefault="00F52F24" w:rsidP="00F52F24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kern w:val="0"/>
          <w:sz w:val="20"/>
          <w:szCs w:val="20"/>
          <w:lang/>
        </w:rPr>
      </w:pPr>
    </w:p>
    <w:p w:rsidR="00F52F24" w:rsidRDefault="00F52F24" w:rsidP="00F52F24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kern w:val="0"/>
          <w:sz w:val="20"/>
          <w:szCs w:val="20"/>
          <w:lang/>
        </w:rPr>
      </w:pPr>
    </w:p>
    <w:p w:rsidR="00F52F24" w:rsidRDefault="00F52F24" w:rsidP="00F52F24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kern w:val="0"/>
          <w:sz w:val="20"/>
          <w:szCs w:val="20"/>
          <w:lang/>
        </w:rPr>
      </w:pPr>
    </w:p>
    <w:p w:rsidR="00F52F24" w:rsidRDefault="00F52F24" w:rsidP="00F52F24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kern w:val="0"/>
          <w:sz w:val="20"/>
          <w:szCs w:val="20"/>
          <w:lang/>
        </w:rPr>
      </w:pPr>
    </w:p>
    <w:p w:rsidR="00F52F24" w:rsidRDefault="00F52F24" w:rsidP="00F52F24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kern w:val="0"/>
          <w:sz w:val="20"/>
          <w:szCs w:val="20"/>
          <w:lang/>
        </w:rPr>
      </w:pPr>
    </w:p>
    <w:p w:rsidR="00F52F24" w:rsidRDefault="00F52F24" w:rsidP="00F52F24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kern w:val="0"/>
          <w:sz w:val="20"/>
          <w:szCs w:val="20"/>
          <w:lang/>
        </w:rPr>
      </w:pPr>
    </w:p>
    <w:p w:rsidR="00F52F24" w:rsidRDefault="00F52F24" w:rsidP="00F52F24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kern w:val="0"/>
          <w:sz w:val="20"/>
          <w:szCs w:val="20"/>
          <w:lang/>
        </w:rPr>
      </w:pPr>
    </w:p>
    <w:p w:rsidR="00F52F24" w:rsidRDefault="00F52F24" w:rsidP="00F52F24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kern w:val="0"/>
          <w:sz w:val="20"/>
          <w:szCs w:val="20"/>
          <w:lang/>
        </w:rPr>
      </w:pPr>
    </w:p>
    <w:p w:rsidR="00F52F24" w:rsidRDefault="00F52F24" w:rsidP="00F52F24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kern w:val="0"/>
          <w:sz w:val="20"/>
          <w:szCs w:val="20"/>
          <w:lang/>
        </w:rPr>
      </w:pPr>
    </w:p>
    <w:p w:rsidR="00F52F24" w:rsidRDefault="00F52F24" w:rsidP="00F52F24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kern w:val="0"/>
          <w:sz w:val="20"/>
          <w:szCs w:val="20"/>
          <w:lang/>
        </w:rPr>
      </w:pPr>
    </w:p>
    <w:p w:rsidR="00F52F24" w:rsidRDefault="00F52F24" w:rsidP="00F52F24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kern w:val="0"/>
          <w:sz w:val="20"/>
          <w:szCs w:val="20"/>
          <w:lang/>
        </w:rPr>
      </w:pPr>
    </w:p>
    <w:p w:rsidR="00F52F24" w:rsidRDefault="00F52F24" w:rsidP="00F52F24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kern w:val="0"/>
          <w:sz w:val="20"/>
          <w:szCs w:val="20"/>
          <w:lang/>
        </w:rPr>
      </w:pPr>
    </w:p>
    <w:p w:rsidR="00F52F24" w:rsidRDefault="00F52F24" w:rsidP="00F52F24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kern w:val="0"/>
          <w:sz w:val="20"/>
          <w:szCs w:val="20"/>
          <w:lang/>
        </w:rPr>
      </w:pPr>
    </w:p>
    <w:p w:rsidR="00F52F24" w:rsidRDefault="00F52F24" w:rsidP="00F52F24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kern w:val="0"/>
          <w:sz w:val="20"/>
          <w:szCs w:val="20"/>
          <w:lang/>
        </w:rPr>
      </w:pPr>
    </w:p>
    <w:p w:rsidR="00F52F24" w:rsidRDefault="00F52F24" w:rsidP="00F52F24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kern w:val="0"/>
          <w:sz w:val="20"/>
          <w:szCs w:val="20"/>
          <w:lang/>
        </w:rPr>
      </w:pPr>
    </w:p>
    <w:p w:rsidR="00F52F24" w:rsidRDefault="00F52F24" w:rsidP="0092615F">
      <w:pPr>
        <w:spacing w:afterLines="100" w:line="560" w:lineRule="exact"/>
        <w:jc w:val="left"/>
        <w:rPr>
          <w:rFonts w:ascii="Times New Roman" w:eastAsia="方正黑体_GBK" w:hAnsi="Times New Roman" w:cs="Times New Roman"/>
          <w:kern w:val="0"/>
          <w:sz w:val="20"/>
          <w:szCs w:val="20"/>
          <w:lang/>
        </w:rPr>
      </w:pPr>
    </w:p>
    <w:p w:rsidR="00F52F24" w:rsidRPr="00F52F24" w:rsidRDefault="00F52F24" w:rsidP="00F14068">
      <w:pPr>
        <w:pBdr>
          <w:top w:val="single" w:sz="8" w:space="1" w:color="auto"/>
          <w:left w:val="none" w:sz="0" w:space="4" w:color="auto"/>
          <w:bottom w:val="single" w:sz="8" w:space="1" w:color="auto"/>
          <w:right w:val="none" w:sz="0" w:space="4" w:color="auto"/>
        </w:pBdr>
        <w:ind w:firstLineChars="100" w:firstLine="280"/>
        <w:rPr>
          <w:rFonts w:ascii="方正小标宋_GBK" w:eastAsia="方正小标宋_GBK"/>
          <w:sz w:val="40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国家矿山安全监察局重庆局综合处</w:t>
      </w:r>
      <w:r w:rsidRPr="00F52F24">
        <w:rPr>
          <w:rFonts w:ascii="方正仿宋_GBK" w:eastAsia="方正仿宋_GBK" w:hAnsi="方正仿宋_GBK" w:cs="方正仿宋_GBK" w:hint="eastAsia"/>
          <w:sz w:val="28"/>
          <w:szCs w:val="28"/>
        </w:rPr>
        <w:t>202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 w:rsidRPr="00F52F24">
        <w:rPr>
          <w:rFonts w:ascii="方正仿宋_GBK" w:eastAsia="方正仿宋_GBK" w:hAnsi="方正仿宋_GBK" w:cs="方正仿宋_GBK" w:hint="eastAsia"/>
          <w:sz w:val="28"/>
          <w:szCs w:val="28"/>
        </w:rPr>
        <w:t>年</w:t>
      </w:r>
      <w:r w:rsidR="00E143D0"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 w:rsidRPr="00F52F24">
        <w:rPr>
          <w:rFonts w:ascii="方正仿宋_GBK" w:eastAsia="方正仿宋_GBK" w:hAnsi="方正仿宋_GBK" w:cs="方正仿宋_GBK" w:hint="eastAsia"/>
          <w:sz w:val="28"/>
          <w:szCs w:val="28"/>
        </w:rPr>
        <w:t>月</w:t>
      </w:r>
      <w:r w:rsidR="0013407C">
        <w:rPr>
          <w:rFonts w:ascii="方正仿宋_GBK" w:eastAsia="方正仿宋_GBK" w:hAnsi="方正仿宋_GBK" w:cs="方正仿宋_GBK"/>
          <w:sz w:val="28"/>
          <w:szCs w:val="28"/>
        </w:rPr>
        <w:t>7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28"/>
          <w:szCs w:val="28"/>
        </w:rPr>
        <w:t>日印发</w:t>
      </w:r>
    </w:p>
    <w:sectPr w:rsidR="00F52F24" w:rsidRPr="00F52F24" w:rsidSect="000B0AD5">
      <w:headerReference w:type="default" r:id="rId11"/>
      <w:footerReference w:type="default" r:id="rId12"/>
      <w:pgSz w:w="11906" w:h="16838"/>
      <w:pgMar w:top="2098" w:right="1588" w:bottom="1985" w:left="1531" w:header="851" w:footer="14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5D4" w:rsidRDefault="004C25D4" w:rsidP="00211EA0">
      <w:r>
        <w:separator/>
      </w:r>
    </w:p>
  </w:endnote>
  <w:endnote w:type="continuationSeparator" w:id="1">
    <w:p w:rsidR="004C25D4" w:rsidRDefault="004C25D4" w:rsidP="00211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818528"/>
      <w:docPartObj>
        <w:docPartGallery w:val="Page Numbers (Bottom of Page)"/>
        <w:docPartUnique/>
      </w:docPartObj>
    </w:sdtPr>
    <w:sdtContent>
      <w:p w:rsidR="004A574A" w:rsidRDefault="00475270">
        <w:pPr>
          <w:pStyle w:val="a6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4A" w:rsidRDefault="004A574A" w:rsidP="00E143D0">
    <w:pPr>
      <w:pStyle w:val="a6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D5" w:rsidRPr="000B0AD5" w:rsidRDefault="000B0AD5" w:rsidP="000B0AD5">
    <w:pPr>
      <w:pStyle w:val="a6"/>
      <w:ind w:right="36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5D4" w:rsidRDefault="004C25D4" w:rsidP="00211EA0">
      <w:r>
        <w:separator/>
      </w:r>
    </w:p>
  </w:footnote>
  <w:footnote w:type="continuationSeparator" w:id="1">
    <w:p w:rsidR="004C25D4" w:rsidRDefault="004C25D4" w:rsidP="00211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4A" w:rsidRPr="004A574A" w:rsidRDefault="004A574A" w:rsidP="004A574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4A" w:rsidRPr="004A574A" w:rsidRDefault="004A574A" w:rsidP="004A574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D5" w:rsidRPr="004A574A" w:rsidRDefault="000B0AD5" w:rsidP="004A574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6DB"/>
    <w:rsid w:val="00013126"/>
    <w:rsid w:val="000212EC"/>
    <w:rsid w:val="00021AC4"/>
    <w:rsid w:val="00030B89"/>
    <w:rsid w:val="00034E10"/>
    <w:rsid w:val="0004253B"/>
    <w:rsid w:val="00053232"/>
    <w:rsid w:val="00056A04"/>
    <w:rsid w:val="00066093"/>
    <w:rsid w:val="00091459"/>
    <w:rsid w:val="000B0AD5"/>
    <w:rsid w:val="000B463B"/>
    <w:rsid w:val="000D4019"/>
    <w:rsid w:val="001009B3"/>
    <w:rsid w:val="00114BBC"/>
    <w:rsid w:val="00127A52"/>
    <w:rsid w:val="0013407C"/>
    <w:rsid w:val="0014259C"/>
    <w:rsid w:val="00162A90"/>
    <w:rsid w:val="001A3FE8"/>
    <w:rsid w:val="001C2CF4"/>
    <w:rsid w:val="001D6DD0"/>
    <w:rsid w:val="001F49B2"/>
    <w:rsid w:val="002027F1"/>
    <w:rsid w:val="00211EA0"/>
    <w:rsid w:val="00215A33"/>
    <w:rsid w:val="002551E0"/>
    <w:rsid w:val="0026075B"/>
    <w:rsid w:val="00270AF8"/>
    <w:rsid w:val="00270BE2"/>
    <w:rsid w:val="002A77BE"/>
    <w:rsid w:val="002B0131"/>
    <w:rsid w:val="002B61C1"/>
    <w:rsid w:val="002C2D12"/>
    <w:rsid w:val="002C6BB8"/>
    <w:rsid w:val="002D38E5"/>
    <w:rsid w:val="002F73B3"/>
    <w:rsid w:val="00304D0D"/>
    <w:rsid w:val="00316F3D"/>
    <w:rsid w:val="00321559"/>
    <w:rsid w:val="00346155"/>
    <w:rsid w:val="00353F7A"/>
    <w:rsid w:val="003546C0"/>
    <w:rsid w:val="0035640D"/>
    <w:rsid w:val="0036349C"/>
    <w:rsid w:val="003910EF"/>
    <w:rsid w:val="003A2086"/>
    <w:rsid w:val="003D2984"/>
    <w:rsid w:val="003D4064"/>
    <w:rsid w:val="003D6837"/>
    <w:rsid w:val="003D6CB4"/>
    <w:rsid w:val="003E5295"/>
    <w:rsid w:val="00400098"/>
    <w:rsid w:val="004447BE"/>
    <w:rsid w:val="00475270"/>
    <w:rsid w:val="004816C7"/>
    <w:rsid w:val="00487C10"/>
    <w:rsid w:val="004A1B3C"/>
    <w:rsid w:val="004A574A"/>
    <w:rsid w:val="004C25D4"/>
    <w:rsid w:val="004E18D5"/>
    <w:rsid w:val="004F2565"/>
    <w:rsid w:val="0050308D"/>
    <w:rsid w:val="005578F6"/>
    <w:rsid w:val="005643E2"/>
    <w:rsid w:val="005768FA"/>
    <w:rsid w:val="005B7C2A"/>
    <w:rsid w:val="005C65BF"/>
    <w:rsid w:val="005E0BB3"/>
    <w:rsid w:val="00612762"/>
    <w:rsid w:val="006257B4"/>
    <w:rsid w:val="00641342"/>
    <w:rsid w:val="00674AB1"/>
    <w:rsid w:val="00676B51"/>
    <w:rsid w:val="006A69A1"/>
    <w:rsid w:val="006A7DFA"/>
    <w:rsid w:val="006C2251"/>
    <w:rsid w:val="006F08F5"/>
    <w:rsid w:val="00733DE0"/>
    <w:rsid w:val="00745CF3"/>
    <w:rsid w:val="00750175"/>
    <w:rsid w:val="00763DAF"/>
    <w:rsid w:val="007722D7"/>
    <w:rsid w:val="0077665A"/>
    <w:rsid w:val="00793281"/>
    <w:rsid w:val="007D6978"/>
    <w:rsid w:val="007F5C2A"/>
    <w:rsid w:val="008242CD"/>
    <w:rsid w:val="00833FE3"/>
    <w:rsid w:val="008340AE"/>
    <w:rsid w:val="00835050"/>
    <w:rsid w:val="00840832"/>
    <w:rsid w:val="0085464F"/>
    <w:rsid w:val="00891A95"/>
    <w:rsid w:val="008D0489"/>
    <w:rsid w:val="00900742"/>
    <w:rsid w:val="0090156D"/>
    <w:rsid w:val="009016DB"/>
    <w:rsid w:val="009152D5"/>
    <w:rsid w:val="00917A3D"/>
    <w:rsid w:val="0092615F"/>
    <w:rsid w:val="009347EB"/>
    <w:rsid w:val="00934BD3"/>
    <w:rsid w:val="00956961"/>
    <w:rsid w:val="009C2912"/>
    <w:rsid w:val="009D387F"/>
    <w:rsid w:val="00A0637C"/>
    <w:rsid w:val="00A26198"/>
    <w:rsid w:val="00A55D05"/>
    <w:rsid w:val="00B0783B"/>
    <w:rsid w:val="00B612F0"/>
    <w:rsid w:val="00B73862"/>
    <w:rsid w:val="00B958F7"/>
    <w:rsid w:val="00B9693F"/>
    <w:rsid w:val="00BB600C"/>
    <w:rsid w:val="00C4319B"/>
    <w:rsid w:val="00C55C0C"/>
    <w:rsid w:val="00C84FC0"/>
    <w:rsid w:val="00CA58CC"/>
    <w:rsid w:val="00CB7C9D"/>
    <w:rsid w:val="00CC31BA"/>
    <w:rsid w:val="00CF15BD"/>
    <w:rsid w:val="00D14AD7"/>
    <w:rsid w:val="00D20D4B"/>
    <w:rsid w:val="00D611CD"/>
    <w:rsid w:val="00D85648"/>
    <w:rsid w:val="00D937F7"/>
    <w:rsid w:val="00D96D5C"/>
    <w:rsid w:val="00DA0901"/>
    <w:rsid w:val="00DB590A"/>
    <w:rsid w:val="00DB6835"/>
    <w:rsid w:val="00DC0CBD"/>
    <w:rsid w:val="00DD2ACE"/>
    <w:rsid w:val="00DF06D6"/>
    <w:rsid w:val="00E143D0"/>
    <w:rsid w:val="00E270CC"/>
    <w:rsid w:val="00E40266"/>
    <w:rsid w:val="00E52611"/>
    <w:rsid w:val="00E77607"/>
    <w:rsid w:val="00E9770E"/>
    <w:rsid w:val="00EA025D"/>
    <w:rsid w:val="00EC30A5"/>
    <w:rsid w:val="00ED0C20"/>
    <w:rsid w:val="00ED35EA"/>
    <w:rsid w:val="00EE06FD"/>
    <w:rsid w:val="00EF77E7"/>
    <w:rsid w:val="00F14068"/>
    <w:rsid w:val="00F50F3C"/>
    <w:rsid w:val="00F52F24"/>
    <w:rsid w:val="00F6566F"/>
    <w:rsid w:val="00F809C1"/>
    <w:rsid w:val="00F86448"/>
    <w:rsid w:val="00FB3E68"/>
    <w:rsid w:val="00FD7D2E"/>
    <w:rsid w:val="00FE2340"/>
    <w:rsid w:val="00FF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A33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CC31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qFormat/>
    <w:rsid w:val="00211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1EA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211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1EA0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8242C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242CD"/>
  </w:style>
  <w:style w:type="table" w:styleId="a8">
    <w:name w:val="Table Grid"/>
    <w:basedOn w:val="a1"/>
    <w:uiPriority w:val="39"/>
    <w:rsid w:val="00824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677F-E1B8-4932-A4EF-72468A29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195</Words>
  <Characters>1116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刘宝平</dc:creator>
  <cp:lastModifiedBy>PC-429</cp:lastModifiedBy>
  <cp:revision>2</cp:revision>
  <cp:lastPrinted>2023-03-06T03:07:00Z</cp:lastPrinted>
  <dcterms:created xsi:type="dcterms:W3CDTF">2023-03-10T07:39:00Z</dcterms:created>
  <dcterms:modified xsi:type="dcterms:W3CDTF">2023-03-10T07:39:00Z</dcterms:modified>
</cp:coreProperties>
</file>