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F0" w:rsidRDefault="004F38F0">
      <w:pPr>
        <w:jc w:val="center"/>
        <w:rPr>
          <w:rFonts w:ascii="黑体" w:eastAsia="黑体" w:hAnsi="黑体" w:cs="黑体"/>
          <w:sz w:val="44"/>
          <w:szCs w:val="44"/>
        </w:rPr>
      </w:pPr>
    </w:p>
    <w:p w:rsidR="004F38F0" w:rsidRDefault="004F38F0">
      <w:pPr>
        <w:jc w:val="center"/>
        <w:rPr>
          <w:rFonts w:ascii="黑体" w:eastAsia="黑体" w:hAnsi="黑体" w:cs="黑体"/>
          <w:sz w:val="44"/>
          <w:szCs w:val="44"/>
        </w:rPr>
      </w:pPr>
    </w:p>
    <w:p w:rsidR="004F38F0" w:rsidRDefault="004F38F0">
      <w:pPr>
        <w:jc w:val="center"/>
        <w:rPr>
          <w:rFonts w:ascii="黑体" w:eastAsia="黑体" w:hAnsi="黑体" w:cs="黑体"/>
          <w:sz w:val="44"/>
          <w:szCs w:val="44"/>
        </w:rPr>
      </w:pPr>
    </w:p>
    <w:p w:rsidR="004F38F0" w:rsidRDefault="004F38F0">
      <w:pPr>
        <w:jc w:val="center"/>
        <w:rPr>
          <w:rFonts w:ascii="黑体" w:eastAsia="黑体" w:hAnsi="黑体" w:cs="黑体"/>
          <w:sz w:val="44"/>
          <w:szCs w:val="44"/>
        </w:rPr>
      </w:pPr>
    </w:p>
    <w:p w:rsidR="004F38F0" w:rsidRDefault="004F38F0">
      <w:pPr>
        <w:jc w:val="center"/>
        <w:rPr>
          <w:rFonts w:ascii="黑体" w:eastAsia="黑体" w:hAnsi="黑体" w:cs="黑体"/>
          <w:sz w:val="44"/>
          <w:szCs w:val="44"/>
        </w:rPr>
      </w:pPr>
    </w:p>
    <w:p w:rsidR="004F38F0" w:rsidRDefault="004F38F0">
      <w:pPr>
        <w:jc w:val="center"/>
        <w:rPr>
          <w:rFonts w:ascii="黑体" w:eastAsia="黑体" w:hAnsi="黑体" w:cs="黑体"/>
          <w:sz w:val="44"/>
          <w:szCs w:val="44"/>
        </w:rPr>
      </w:pPr>
    </w:p>
    <w:p w:rsidR="004F38F0" w:rsidRDefault="004F38F0">
      <w:pPr>
        <w:jc w:val="center"/>
        <w:rPr>
          <w:rFonts w:ascii="黑体" w:eastAsia="黑体" w:hAnsi="黑体" w:cs="黑体"/>
          <w:sz w:val="44"/>
          <w:szCs w:val="44"/>
        </w:rPr>
      </w:pPr>
    </w:p>
    <w:p w:rsidR="004F38F0" w:rsidRDefault="007A42B8">
      <w:pPr>
        <w:jc w:val="center"/>
        <w:rPr>
          <w:rFonts w:ascii="黑体" w:eastAsia="黑体" w:hAnsi="黑体" w:cs="黑体"/>
          <w:sz w:val="44"/>
          <w:szCs w:val="44"/>
        </w:rPr>
      </w:pPr>
      <w:r>
        <w:rPr>
          <w:rFonts w:ascii="黑体" w:eastAsia="黑体" w:hAnsi="黑体" w:cs="黑体" w:hint="eastAsia"/>
          <w:sz w:val="44"/>
          <w:szCs w:val="44"/>
        </w:rPr>
        <w:t>重庆</w:t>
      </w:r>
      <w:r w:rsidR="009E4A05">
        <w:rPr>
          <w:rFonts w:ascii="黑体" w:eastAsia="黑体" w:hAnsi="黑体" w:cs="黑体" w:hint="eastAsia"/>
          <w:sz w:val="44"/>
          <w:szCs w:val="44"/>
        </w:rPr>
        <w:t>煤矿安全监察局部门决算</w:t>
      </w:r>
    </w:p>
    <w:p w:rsidR="004F38F0" w:rsidRDefault="009E4A05">
      <w:pPr>
        <w:jc w:val="center"/>
        <w:rPr>
          <w:rFonts w:ascii="黑体" w:eastAsia="黑体" w:hAnsi="黑体" w:cs="黑体"/>
          <w:sz w:val="44"/>
          <w:szCs w:val="44"/>
        </w:rPr>
      </w:pPr>
      <w:r>
        <w:rPr>
          <w:rFonts w:ascii="黑体" w:eastAsia="黑体" w:hAnsi="黑体" w:cs="黑体" w:hint="eastAsia"/>
          <w:sz w:val="44"/>
          <w:szCs w:val="44"/>
        </w:rPr>
        <w:t>(2020年)</w:t>
      </w:r>
    </w:p>
    <w:p w:rsidR="004F38F0" w:rsidRDefault="004F38F0">
      <w:pPr>
        <w:jc w:val="center"/>
        <w:rPr>
          <w:rFonts w:ascii="黑体" w:eastAsia="黑体" w:hAnsi="黑体" w:cs="黑体"/>
          <w:sz w:val="44"/>
          <w:szCs w:val="44"/>
        </w:rPr>
      </w:pPr>
    </w:p>
    <w:p w:rsidR="004F38F0" w:rsidRDefault="004F38F0">
      <w:pPr>
        <w:rPr>
          <w:rFonts w:ascii="黑体" w:eastAsia="黑体" w:hAnsi="黑体" w:cs="黑体"/>
          <w:sz w:val="44"/>
          <w:szCs w:val="44"/>
        </w:rPr>
      </w:pPr>
    </w:p>
    <w:p w:rsidR="004F38F0" w:rsidRDefault="004F38F0">
      <w:pPr>
        <w:rPr>
          <w:rFonts w:ascii="黑体" w:eastAsia="黑体" w:hAnsi="黑体" w:cs="黑体"/>
          <w:sz w:val="44"/>
          <w:szCs w:val="44"/>
        </w:rPr>
      </w:pPr>
    </w:p>
    <w:p w:rsidR="004F38F0" w:rsidRDefault="004F38F0">
      <w:pPr>
        <w:rPr>
          <w:rFonts w:ascii="黑体" w:eastAsia="黑体" w:hAnsi="黑体" w:cs="黑体"/>
          <w:sz w:val="44"/>
          <w:szCs w:val="44"/>
        </w:rPr>
      </w:pPr>
    </w:p>
    <w:p w:rsidR="004F38F0" w:rsidRDefault="004F38F0">
      <w:pPr>
        <w:rPr>
          <w:rFonts w:ascii="黑体" w:eastAsia="黑体" w:hAnsi="黑体" w:cs="黑体"/>
          <w:sz w:val="44"/>
          <w:szCs w:val="44"/>
        </w:rPr>
      </w:pPr>
    </w:p>
    <w:p w:rsidR="004F38F0" w:rsidRPr="004F4A18" w:rsidRDefault="004F38F0">
      <w:pPr>
        <w:jc w:val="center"/>
        <w:rPr>
          <w:rFonts w:ascii="黑体" w:eastAsia="黑体" w:hAnsi="黑体" w:cs="黑体"/>
          <w:sz w:val="44"/>
          <w:szCs w:val="44"/>
        </w:rPr>
      </w:pPr>
    </w:p>
    <w:p w:rsidR="004F38F0" w:rsidRDefault="009E4A05">
      <w:pPr>
        <w:jc w:val="center"/>
        <w:rPr>
          <w:rFonts w:ascii="黑体" w:eastAsia="黑体" w:hAnsi="黑体" w:cs="黑体"/>
          <w:sz w:val="44"/>
          <w:szCs w:val="44"/>
        </w:rPr>
      </w:pPr>
      <w:r>
        <w:rPr>
          <w:rFonts w:ascii="华文楷体" w:eastAsia="华文楷体" w:hAnsi="华文楷体" w:cs="华文楷体" w:hint="eastAsia"/>
          <w:b/>
          <w:bCs/>
          <w:sz w:val="44"/>
          <w:szCs w:val="44"/>
        </w:rPr>
        <w:t>二〇二一年七月</w:t>
      </w:r>
    </w:p>
    <w:p w:rsidR="004F38F0" w:rsidRDefault="004F38F0">
      <w:pPr>
        <w:rPr>
          <w:rFonts w:ascii="黑体" w:eastAsia="黑体" w:hAnsi="黑体" w:cs="黑体"/>
          <w:sz w:val="44"/>
          <w:szCs w:val="44"/>
        </w:rPr>
      </w:pPr>
    </w:p>
    <w:p w:rsidR="004F38F0" w:rsidRDefault="004F38F0">
      <w:pPr>
        <w:rPr>
          <w:rFonts w:ascii="黑体" w:eastAsia="黑体" w:hAnsi="黑体" w:cs="黑体"/>
          <w:sz w:val="44"/>
          <w:szCs w:val="44"/>
        </w:rPr>
      </w:pPr>
    </w:p>
    <w:p w:rsidR="004F38F0" w:rsidRDefault="004F38F0">
      <w:pPr>
        <w:rPr>
          <w:rFonts w:ascii="黑体" w:eastAsia="黑体" w:hAnsi="黑体" w:cs="黑体"/>
          <w:sz w:val="44"/>
          <w:szCs w:val="44"/>
        </w:rPr>
      </w:pPr>
    </w:p>
    <w:p w:rsidR="004F38F0" w:rsidRDefault="004F38F0">
      <w:pPr>
        <w:rPr>
          <w:rFonts w:ascii="黑体" w:eastAsia="黑体" w:hAnsi="黑体" w:cs="黑体"/>
          <w:sz w:val="44"/>
          <w:szCs w:val="44"/>
        </w:rPr>
      </w:pPr>
    </w:p>
    <w:p w:rsidR="004F38F0" w:rsidRDefault="004F38F0">
      <w:pPr>
        <w:rPr>
          <w:rFonts w:ascii="黑体" w:eastAsia="黑体" w:hAnsi="黑体" w:cs="黑体"/>
          <w:sz w:val="44"/>
          <w:szCs w:val="44"/>
        </w:rPr>
      </w:pPr>
    </w:p>
    <w:p w:rsidR="004F38F0" w:rsidRDefault="009E4A05">
      <w:pPr>
        <w:jc w:val="center"/>
        <w:rPr>
          <w:rFonts w:ascii="黑体" w:eastAsia="黑体" w:hAnsi="黑体" w:cs="黑体"/>
          <w:sz w:val="44"/>
          <w:szCs w:val="44"/>
        </w:rPr>
      </w:pPr>
      <w:r>
        <w:rPr>
          <w:rFonts w:ascii="黑体" w:eastAsia="黑体" w:hAnsi="黑体" w:cs="黑体" w:hint="eastAsia"/>
          <w:sz w:val="44"/>
          <w:szCs w:val="44"/>
        </w:rPr>
        <w:lastRenderedPageBreak/>
        <w:t>目 录</w:t>
      </w:r>
    </w:p>
    <w:p w:rsidR="004F38F0" w:rsidRDefault="004F38F0">
      <w:pPr>
        <w:jc w:val="center"/>
        <w:rPr>
          <w:rFonts w:ascii="黑体" w:eastAsia="黑体" w:hAnsi="黑体" w:cs="黑体"/>
          <w:sz w:val="44"/>
          <w:szCs w:val="44"/>
        </w:rPr>
      </w:pPr>
    </w:p>
    <w:p w:rsidR="004F38F0" w:rsidRDefault="009E4A05">
      <w:pPr>
        <w:jc w:val="left"/>
        <w:rPr>
          <w:rFonts w:ascii="黑体" w:eastAsia="黑体" w:hAnsi="黑体" w:cs="黑体"/>
          <w:sz w:val="32"/>
          <w:szCs w:val="32"/>
        </w:rPr>
      </w:pPr>
      <w:r>
        <w:rPr>
          <w:rFonts w:ascii="黑体" w:eastAsia="黑体" w:hAnsi="黑体" w:cs="黑体" w:hint="eastAsia"/>
          <w:sz w:val="32"/>
          <w:szCs w:val="32"/>
        </w:rPr>
        <w:t xml:space="preserve">第一部分 </w:t>
      </w:r>
      <w:r w:rsidR="007A42B8">
        <w:rPr>
          <w:rFonts w:ascii="黑体" w:eastAsia="黑体" w:hAnsi="黑体" w:cs="黑体" w:hint="eastAsia"/>
          <w:sz w:val="32"/>
          <w:szCs w:val="32"/>
        </w:rPr>
        <w:t>重庆</w:t>
      </w:r>
      <w:r>
        <w:rPr>
          <w:rFonts w:ascii="黑体" w:eastAsia="黑体" w:hAnsi="黑体" w:cs="黑体" w:hint="eastAsia"/>
          <w:sz w:val="32"/>
          <w:szCs w:val="32"/>
        </w:rPr>
        <w:t>煤矿安全监察局概况</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一、主要职能</w:t>
      </w:r>
    </w:p>
    <w:p w:rsidR="004F38F0" w:rsidRDefault="009E4A05">
      <w:pPr>
        <w:jc w:val="left"/>
        <w:rPr>
          <w:rFonts w:ascii="黑体" w:eastAsia="楷体" w:hAnsi="黑体" w:cs="黑体"/>
          <w:sz w:val="32"/>
          <w:szCs w:val="32"/>
        </w:rPr>
      </w:pPr>
      <w:r>
        <w:rPr>
          <w:rFonts w:ascii="楷体" w:eastAsia="楷体" w:hAnsi="楷体" w:cs="黑体" w:hint="eastAsia"/>
          <w:sz w:val="32"/>
          <w:szCs w:val="32"/>
        </w:rPr>
        <w:t>二、机构设置</w:t>
      </w:r>
    </w:p>
    <w:p w:rsidR="004F38F0" w:rsidRDefault="009E4A05">
      <w:pPr>
        <w:jc w:val="left"/>
        <w:rPr>
          <w:rFonts w:ascii="黑体" w:eastAsia="黑体" w:hAnsi="黑体" w:cs="黑体"/>
          <w:sz w:val="32"/>
          <w:szCs w:val="32"/>
        </w:rPr>
      </w:pPr>
      <w:r>
        <w:rPr>
          <w:rFonts w:ascii="黑体" w:eastAsia="黑体" w:hAnsi="黑体" w:cs="黑体" w:hint="eastAsia"/>
          <w:sz w:val="32"/>
          <w:szCs w:val="32"/>
        </w:rPr>
        <w:t>第二部分 2020年度部门决算表</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一、收入支出决算总表</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二、收入决算表</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三、支出决算表</w:t>
      </w:r>
    </w:p>
    <w:p w:rsidR="004F38F0" w:rsidRDefault="009E4A05">
      <w:pPr>
        <w:jc w:val="left"/>
        <w:rPr>
          <w:rFonts w:ascii="楷体" w:eastAsia="楷体" w:hAnsi="楷体" w:cs="黑体"/>
          <w:sz w:val="32"/>
          <w:szCs w:val="32"/>
        </w:rPr>
      </w:pPr>
      <w:r>
        <w:rPr>
          <w:rFonts w:ascii="楷体" w:eastAsia="楷体" w:hAnsi="楷体" w:cs="黑体" w:hint="eastAsia"/>
          <w:sz w:val="32"/>
          <w:szCs w:val="32"/>
        </w:rPr>
        <w:t>四、财政拨款收入支出决算总表</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五、一般公共预算财政拨款支出决算表</w:t>
      </w:r>
    </w:p>
    <w:p w:rsidR="004F38F0" w:rsidRDefault="009E4A05">
      <w:pPr>
        <w:jc w:val="left"/>
        <w:rPr>
          <w:rFonts w:ascii="楷体" w:eastAsia="楷体" w:hAnsi="楷体" w:cs="黑体"/>
          <w:sz w:val="32"/>
          <w:szCs w:val="32"/>
        </w:rPr>
      </w:pPr>
      <w:r>
        <w:rPr>
          <w:rFonts w:ascii="楷体" w:eastAsia="楷体" w:hAnsi="楷体" w:cs="黑体" w:hint="eastAsia"/>
          <w:sz w:val="32"/>
          <w:szCs w:val="32"/>
        </w:rPr>
        <w:t>六、一般公共预算财政拨款基本支出决算表</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七、一般公共预算财政拨款“三公”经费支出决算表</w:t>
      </w:r>
    </w:p>
    <w:p w:rsidR="004F38F0" w:rsidRDefault="009E4A05">
      <w:pPr>
        <w:jc w:val="left"/>
        <w:rPr>
          <w:rFonts w:ascii="楷体" w:eastAsia="楷体" w:hAnsi="楷体" w:cs="黑体"/>
          <w:sz w:val="32"/>
          <w:szCs w:val="32"/>
        </w:rPr>
      </w:pPr>
      <w:r>
        <w:rPr>
          <w:rFonts w:ascii="楷体" w:eastAsia="楷体" w:hAnsi="楷体" w:cs="黑体" w:hint="eastAsia"/>
          <w:sz w:val="32"/>
          <w:szCs w:val="32"/>
        </w:rPr>
        <w:t>八、政府性基金预算财政拨款收入支出决算表</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九、国有资本经营预算财政拨款支出决算表</w:t>
      </w:r>
    </w:p>
    <w:p w:rsidR="004F38F0" w:rsidRDefault="009E4A05">
      <w:pPr>
        <w:jc w:val="left"/>
        <w:rPr>
          <w:rFonts w:ascii="黑体" w:eastAsia="黑体" w:hAnsi="黑体" w:cs="黑体"/>
          <w:sz w:val="32"/>
          <w:szCs w:val="32"/>
        </w:rPr>
      </w:pPr>
      <w:r>
        <w:rPr>
          <w:rFonts w:ascii="黑体" w:eastAsia="黑体" w:hAnsi="黑体" w:cs="黑体" w:hint="eastAsia"/>
          <w:sz w:val="32"/>
          <w:szCs w:val="32"/>
        </w:rPr>
        <w:t>第三部分 2020年部门决算情况说明</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一、收入支出决算总体情况说明</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二、收入决算情况说明</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三、支出决算情况说明</w:t>
      </w:r>
    </w:p>
    <w:p w:rsidR="004F38F0" w:rsidRDefault="009E4A05">
      <w:pPr>
        <w:jc w:val="left"/>
        <w:rPr>
          <w:rFonts w:ascii="楷体" w:eastAsia="楷体" w:hAnsi="楷体" w:cs="黑体"/>
          <w:sz w:val="32"/>
          <w:szCs w:val="32"/>
        </w:rPr>
      </w:pPr>
      <w:r>
        <w:rPr>
          <w:rFonts w:ascii="楷体" w:eastAsia="楷体" w:hAnsi="楷体" w:cs="黑体" w:hint="eastAsia"/>
          <w:sz w:val="32"/>
          <w:szCs w:val="32"/>
        </w:rPr>
        <w:t>四、财政拨款收入支出决算总体情况说明</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五、一般公共预算财政拨款支出决算情况说明</w:t>
      </w:r>
    </w:p>
    <w:p w:rsidR="004F38F0" w:rsidRDefault="009E4A05">
      <w:pPr>
        <w:jc w:val="left"/>
        <w:rPr>
          <w:rFonts w:ascii="楷体" w:eastAsia="楷体" w:hAnsi="楷体" w:cs="黑体"/>
          <w:sz w:val="32"/>
          <w:szCs w:val="32"/>
        </w:rPr>
      </w:pPr>
      <w:r>
        <w:rPr>
          <w:rFonts w:ascii="楷体" w:eastAsia="楷体" w:hAnsi="楷体" w:cs="黑体" w:hint="eastAsia"/>
          <w:sz w:val="32"/>
          <w:szCs w:val="32"/>
        </w:rPr>
        <w:lastRenderedPageBreak/>
        <w:t>六、一般公共预算财政拨款基本支出决算情况说明</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七、一般公共预算财政拨款“三公”经费支出决算情况说明</w:t>
      </w:r>
    </w:p>
    <w:p w:rsidR="004F38F0" w:rsidRDefault="009E4A05">
      <w:pPr>
        <w:jc w:val="left"/>
        <w:rPr>
          <w:rFonts w:ascii="楷体" w:eastAsia="楷体" w:hAnsi="楷体" w:cs="黑体"/>
          <w:sz w:val="32"/>
          <w:szCs w:val="32"/>
        </w:rPr>
      </w:pPr>
      <w:r>
        <w:rPr>
          <w:rFonts w:ascii="楷体" w:eastAsia="楷体" w:hAnsi="楷体" w:cs="黑体" w:hint="eastAsia"/>
          <w:sz w:val="32"/>
          <w:szCs w:val="32"/>
        </w:rPr>
        <w:t>八、预算绩效情况的说明</w:t>
      </w:r>
    </w:p>
    <w:p w:rsidR="004F38F0" w:rsidRDefault="009E4A05">
      <w:pPr>
        <w:jc w:val="left"/>
        <w:rPr>
          <w:rFonts w:ascii="楷体" w:eastAsia="楷体" w:hAnsi="楷体" w:cs="黑体"/>
          <w:sz w:val="32"/>
          <w:szCs w:val="32"/>
        </w:rPr>
      </w:pPr>
      <w:r>
        <w:rPr>
          <w:rFonts w:ascii="楷体" w:eastAsia="楷体" w:hAnsi="楷体" w:cs="黑体" w:hint="eastAsia"/>
          <w:sz w:val="32"/>
          <w:szCs w:val="32"/>
        </w:rPr>
        <w:t>九、其他重要事项情况的说明</w:t>
      </w:r>
    </w:p>
    <w:p w:rsidR="004F38F0" w:rsidRDefault="009E4A05">
      <w:pPr>
        <w:jc w:val="left"/>
        <w:rPr>
          <w:rFonts w:ascii="黑体" w:eastAsia="黑体" w:hAnsi="黑体" w:cs="黑体"/>
          <w:sz w:val="32"/>
          <w:szCs w:val="32"/>
        </w:rPr>
      </w:pPr>
      <w:r>
        <w:rPr>
          <w:rFonts w:ascii="黑体" w:eastAsia="黑体" w:hAnsi="黑体" w:cs="黑体" w:hint="eastAsia"/>
          <w:sz w:val="32"/>
          <w:szCs w:val="32"/>
        </w:rPr>
        <w:t>第四部分 名词解释</w:t>
      </w: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pStyle w:val="Default"/>
      </w:pPr>
    </w:p>
    <w:p w:rsidR="004F38F0" w:rsidRDefault="00B7792C">
      <w:pPr>
        <w:jc w:val="left"/>
        <w:rPr>
          <w:rFonts w:ascii="黑体" w:eastAsia="黑体" w:hAnsi="黑体" w:cs="黑体"/>
          <w:sz w:val="32"/>
          <w:szCs w:val="32"/>
        </w:rPr>
      </w:pPr>
      <w:r w:rsidRPr="00B7792C">
        <w:rPr>
          <w:rFonts w:ascii="黑体" w:eastAsia="黑体" w:hAnsi="黑体" w:cs="黑体"/>
          <w:noProof/>
          <w:color w:val="000000"/>
          <w:sz w:val="32"/>
          <w:szCs w:val="32"/>
        </w:rPr>
        <w:lastRenderedPageBreak/>
        <w:pict>
          <v:rect id="矩形 4" o:spid="_x0000_s1026" style="position:absolute;margin-left:428.4pt;margin-top:1.8pt;width:167.4pt;height:842.7pt;z-index:251660288;visibility:visible;mso-wrap-distance-left: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" o:allowincell="f" fillcolor="#6e774e" stroked="f">
            <v:fill opacity="22873f"/>
            <v:textbox inset="14.4pt,122.4pt,14.4pt,5.76pt">
              <w:txbxContent>
                <w:p w:rsidR="009E4A05" w:rsidRDefault="009E4A05"/>
              </w:txbxContent>
            </v:textbox>
            <w10:wrap type="square" anchorx="page" anchory="page"/>
          </v:rect>
        </w:pict>
      </w:r>
      <w:r w:rsidR="009E4A05">
        <w:rPr>
          <w:rFonts w:ascii="黑体" w:eastAsia="黑体" w:hAnsi="黑体" w:cs="黑体" w:hint="eastAsia"/>
          <w:sz w:val="32"/>
          <w:szCs w:val="32"/>
        </w:rPr>
        <w:t xml:space="preserve">                                                  </w:t>
      </w: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rPr>
          <w:i/>
          <w:iCs/>
          <w:color w:val="808080" w:themeColor="background1" w:themeShade="80"/>
        </w:rPr>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B7792C">
      <w:pPr>
        <w:pStyle w:val="Default"/>
      </w:pPr>
      <w:r>
        <w:rPr>
          <w:noProof/>
        </w:rPr>
        <w:pict>
          <v:roundrect id="圆角矩形 20" o:spid="_x0000_s1027" style="position:absolute;margin-left:-77.15pt;margin-top:10pt;width:596.4pt;height:161.4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" fillcolor="#c3c3c3 [2166]" strokecolor="#a5a5a5 [3206]" strokeweight=".5pt">
            <v:fill color2="#b6b6b6 [2614]" rotate="t" colors="0 #d2d2d2;.5 #c8c8c8;1 silver" focus="100%" type="gradient">
              <o:fill v:ext="view" type="gradientUnscaled"/>
            </v:fill>
            <v:stroke joinstyle="miter"/>
            <v:textbox>
              <w:txbxContent>
                <w:p w:rsidR="009E4A05" w:rsidRDefault="009E4A05">
                  <w:pPr>
                    <w:rPr>
                      <w:rFonts w:ascii="黑体" w:eastAsia="黑体" w:hAnsi="黑体"/>
                      <w:b/>
                      <w:color w:val="E7E6E6" w:themeColor="background2"/>
                      <w:sz w:val="84"/>
                      <w:szCs w:val="84"/>
                    </w:rPr>
                  </w:pPr>
                  <w:r>
                    <w:rPr>
                      <w:rFonts w:ascii="黑体" w:eastAsia="黑体" w:hAnsi="黑体" w:hint="eastAsia"/>
                      <w:b/>
                      <w:color w:val="E7E6E6" w:themeColor="background2"/>
                      <w:sz w:val="84"/>
                      <w:szCs w:val="84"/>
                    </w:rPr>
                    <w:t>第一部分</w:t>
                  </w:r>
                </w:p>
                <w:p w:rsidR="009E4A05" w:rsidRDefault="009E4A05">
                  <w:pPr>
                    <w:jc w:val="center"/>
                  </w:pPr>
                  <w:r>
                    <w:rPr>
                      <w:rFonts w:ascii="黑体" w:eastAsia="黑体" w:hAnsi="黑体" w:hint="eastAsia"/>
                      <w:b/>
                      <w:color w:val="E7E6E6" w:themeColor="background2"/>
                      <w:sz w:val="84"/>
                      <w:szCs w:val="84"/>
                    </w:rPr>
                    <w:t xml:space="preserve">   </w:t>
                  </w:r>
                  <w:r w:rsidR="007A42B8">
                    <w:rPr>
                      <w:rFonts w:ascii="黑体" w:eastAsia="黑体" w:hAnsi="黑体" w:hint="eastAsia"/>
                      <w:b/>
                      <w:color w:val="E7E6E6" w:themeColor="background2"/>
                      <w:sz w:val="84"/>
                      <w:szCs w:val="84"/>
                    </w:rPr>
                    <w:t>重庆</w:t>
                  </w:r>
                  <w:r>
                    <w:rPr>
                      <w:rFonts w:ascii="黑体" w:eastAsia="黑体" w:hAnsi="黑体" w:hint="eastAsia"/>
                      <w:b/>
                      <w:color w:val="E7E6E6" w:themeColor="background2"/>
                      <w:sz w:val="84"/>
                      <w:szCs w:val="84"/>
                    </w:rPr>
                    <w:t>煤矿安全监察局概况</w:t>
                  </w:r>
                </w:p>
              </w:txbxContent>
            </v:textbox>
          </v:roundrect>
        </w:pict>
      </w: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4F38F0" w:rsidRDefault="004F38F0">
      <w:pPr>
        <w:pStyle w:val="Default"/>
      </w:pPr>
    </w:p>
    <w:p w:rsidR="009D59C2" w:rsidRPr="009D59C2" w:rsidRDefault="009D59C2">
      <w:pPr>
        <w:pStyle w:val="Default"/>
      </w:pPr>
    </w:p>
    <w:p w:rsidR="004F38F0" w:rsidRDefault="00B7792C">
      <w:pPr>
        <w:autoSpaceDE w:val="0"/>
        <w:autoSpaceDN w:val="0"/>
        <w:adjustRightInd w:val="0"/>
        <w:ind w:firstLineChars="200" w:firstLine="480"/>
        <w:jc w:val="left"/>
        <w:rPr>
          <w:rFonts w:ascii="楷体" w:eastAsia="楷体" w:hAnsi="楷体" w:cs="楷体"/>
          <w:b/>
          <w:bCs/>
          <w:color w:val="000000"/>
          <w:kern w:val="0"/>
          <w:sz w:val="32"/>
          <w:szCs w:val="32"/>
        </w:rPr>
      </w:pPr>
      <w:r w:rsidRPr="00B7792C">
        <w:rPr>
          <w:rFonts w:ascii="Times New Roman" w:hAnsi="Times New Roman" w:cs="Times New Roman"/>
          <w:noProof/>
          <w:color w:val="000000"/>
          <w:kern w:val="0"/>
          <w:sz w:val="24"/>
        </w:rPr>
        <w:pict>
          <v:rect id="矩形 413" o:spid="_x0000_s1028" style="position:absolute;left:0;text-align:left;margin-left:0;margin-top:24.6pt;width:525pt;height:114.75pt;flip:x;z-index:251664384;visibility:visible;mso-width-percent:1000;mso-wrap-distance-top:7.2pt;mso-wrap-distance-bottom:10.8pt;mso-position-horizontal:left;mso-position-horizontal-relative:page;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" o:allowincell="f" fillcolor="#afafaf" strokecolor="#a5a5a5" strokeweight=".5pt">
            <v:fill color2="#929292" rotate="t" colors="0 #afafaf;.5 #a5a5a5;1 #929292" focus="100%" type="gradient">
              <o:fill v:ext="view" type="gradientUnscaled"/>
            </v:fill>
            <v:shadow on="t" color="#70ad47" origin=",.5" offset="-30.55769mm,-4.83986mm"/>
            <v:textbox style="mso-fit-shape-to-text:t" inset="36pt,7.2pt,10.8pt,0">
              <w:txbxContent>
                <w:p w:rsidR="009E4A05" w:rsidRDefault="007A42B8">
                  <w:pPr>
                    <w:rPr>
                      <w:rFonts w:asciiTheme="majorHAnsi" w:eastAsiaTheme="majorEastAsia" w:hAnsiTheme="majorHAnsi" w:cstheme="majorBidi"/>
                      <w:i/>
                      <w:iCs/>
                      <w:color w:val="FFFFFF" w:themeColor="background1"/>
                      <w:sz w:val="36"/>
                      <w:szCs w:val="36"/>
                    </w:rPr>
                  </w:pPr>
                  <w:r>
                    <w:rPr>
                      <w:rFonts w:hint="eastAsia"/>
                      <w:b/>
                      <w:sz w:val="36"/>
                    </w:rPr>
                    <w:t>重庆</w:t>
                  </w:r>
                  <w:r w:rsidR="009E4A05">
                    <w:rPr>
                      <w:b/>
                      <w:sz w:val="36"/>
                    </w:rPr>
                    <w:t>煤矿安全监察局</w:t>
                  </w:r>
                  <w:r w:rsidR="009E4A05">
                    <w:rPr>
                      <w:rFonts w:hint="eastAsia"/>
                      <w:b/>
                      <w:sz w:val="36"/>
                    </w:rPr>
                    <w:t>2020</w:t>
                  </w:r>
                  <w:r w:rsidR="009E4A05">
                    <w:rPr>
                      <w:b/>
                      <w:sz w:val="36"/>
                    </w:rPr>
                    <w:t>年部门</w:t>
                  </w:r>
                  <w:r w:rsidR="009E4A05">
                    <w:rPr>
                      <w:rFonts w:hint="eastAsia"/>
                      <w:b/>
                      <w:sz w:val="36"/>
                    </w:rPr>
                    <w:t>决</w:t>
                  </w:r>
                  <w:r w:rsidR="009E4A05">
                    <w:rPr>
                      <w:b/>
                      <w:sz w:val="36"/>
                    </w:rPr>
                    <w:t>算</w:t>
                  </w:r>
                  <w:r w:rsidR="009E4A05">
                    <w:rPr>
                      <w:rFonts w:ascii="MS Mincho" w:eastAsia="MS Mincho" w:hAnsi="MS Mincho" w:cs="MS Mincho" w:hint="eastAsia"/>
                      <w:b/>
                      <w:sz w:val="36"/>
                    </w:rPr>
                    <w:t>☞</w:t>
                  </w:r>
                  <w:r w:rsidR="009E4A05">
                    <w:rPr>
                      <w:b/>
                      <w:sz w:val="36"/>
                    </w:rPr>
                    <w:t>部门概况</w:t>
                  </w:r>
                </w:p>
              </w:txbxContent>
            </v:textbox>
            <w10:wrap type="square" anchorx="page" anchory="page"/>
          </v:rect>
        </w:pict>
      </w:r>
      <w:r w:rsidR="009E4A05">
        <w:rPr>
          <w:rFonts w:ascii="楷体" w:eastAsia="楷体" w:hAnsi="楷体" w:cs="楷体" w:hint="eastAsia"/>
          <w:b/>
          <w:bCs/>
          <w:color w:val="000000"/>
          <w:kern w:val="0"/>
          <w:sz w:val="32"/>
          <w:szCs w:val="32"/>
        </w:rPr>
        <w:t>一、主要职能</w:t>
      </w:r>
    </w:p>
    <w:p w:rsidR="007A42B8" w:rsidRDefault="007A42B8" w:rsidP="007A42B8">
      <w:pPr>
        <w:ind w:firstLineChars="200" w:firstLine="640"/>
        <w:rPr>
          <w:rFonts w:ascii="方正仿宋_GBK" w:eastAsia="方正仿宋_GBK" w:hAnsi="方正仿宋_GBK"/>
          <w:b/>
          <w:sz w:val="32"/>
          <w:szCs w:val="32"/>
        </w:rPr>
      </w:pPr>
      <w:r>
        <w:rPr>
          <w:rFonts w:ascii="方正仿宋_GBK" w:eastAsia="方正仿宋_GBK" w:hAnsi="方正仿宋_GBK" w:hint="eastAsia"/>
          <w:sz w:val="32"/>
          <w:szCs w:val="32"/>
        </w:rPr>
        <w:lastRenderedPageBreak/>
        <w:t>按照《国务院办公厅关于印发煤矿安全监察管理体制改革实施方案的通知》（国办发〔1999〕104号）、《国务院办公厅关于完善煤矿安全监察体制的意见》（国办发〔2004〕79号）、《国务院办公厅关于印发国家煤矿安全监察局主要职责内设机构和人员编制规定的通知》（国办发〔2008〕101号）、《国家安全生产监督管理总局办公厅关于印发重庆煤矿安全监察局职能职责、内设机构和人员编制规定的通知》（安监总厅字〔2005〕97号）等有关文件规定，重庆煤矿安全监察局负责重庆市行政区域内所有煤矿企业及煤矿的安全监察和行政执法工作。主要职责如下：</w:t>
      </w:r>
    </w:p>
    <w:p w:rsidR="007A42B8" w:rsidRDefault="007A42B8" w:rsidP="007A42B8">
      <w:pPr>
        <w:rPr>
          <w:rFonts w:ascii="方正仿宋_GBK" w:eastAsia="方正仿宋_GBK" w:hAnsi="方正仿宋_GBK"/>
          <w:sz w:val="32"/>
          <w:szCs w:val="32"/>
        </w:rPr>
      </w:pPr>
      <w:r>
        <w:rPr>
          <w:rFonts w:ascii="方正仿宋_GBK" w:eastAsia="方正仿宋_GBK" w:hAnsi="方正仿宋_GBK" w:hint="eastAsia"/>
          <w:sz w:val="32"/>
          <w:szCs w:val="32"/>
        </w:rPr>
        <w:t xml:space="preserve">    1.贯彻落实国家关于煤矿安全生产工作的方针政策、法律法规、规章规程；研究分析煤矿安全生产形势，提出煤矿安全生产发展规划和目标建议。</w:t>
      </w:r>
    </w:p>
    <w:p w:rsidR="007A42B8" w:rsidRDefault="007A42B8" w:rsidP="007A42B8">
      <w:pPr>
        <w:rPr>
          <w:rFonts w:ascii="方正仿宋_GBK" w:eastAsia="方正仿宋_GBK" w:hAnsi="方正仿宋_GBK"/>
          <w:sz w:val="32"/>
          <w:szCs w:val="32"/>
        </w:rPr>
      </w:pPr>
      <w:r>
        <w:rPr>
          <w:rFonts w:ascii="方正仿宋_GBK" w:eastAsia="方正仿宋_GBK" w:hAnsi="方正仿宋_GBK" w:hint="eastAsia"/>
          <w:sz w:val="32"/>
          <w:szCs w:val="32"/>
        </w:rPr>
        <w:t xml:space="preserve">    2.依法监察煤矿企业贯彻执行安全生产法律法规、规章规程、标准和安全生产条件、设备设施安全及作业场所职业卫生等情况；对煤矿安全实施重点监察、专项监察和定期监察，对煤矿安全生产违法行为作出现场处理决定或实施行政处罚，对不符合安全生产标准的煤矿企业进行查处。 </w:t>
      </w:r>
    </w:p>
    <w:p w:rsidR="007A42B8" w:rsidRDefault="007A42B8" w:rsidP="007A42B8">
      <w:pPr>
        <w:rPr>
          <w:rFonts w:ascii="方正仿宋_GBK" w:eastAsia="方正仿宋_GBK" w:hAnsi="方正仿宋_GBK"/>
          <w:sz w:val="32"/>
          <w:szCs w:val="32"/>
        </w:rPr>
      </w:pPr>
      <w:r>
        <w:rPr>
          <w:rFonts w:ascii="方正仿宋_GBK" w:eastAsia="方正仿宋_GBK" w:hAnsi="方正仿宋_GBK" w:hint="eastAsia"/>
          <w:sz w:val="32"/>
          <w:szCs w:val="32"/>
        </w:rPr>
        <w:t xml:space="preserve">    3.检查指导地方煤矿安全监督管理工作。对地方贯彻落实煤矿安全生产法律法规、标准，关闭不具备安全生产条件的矿井，煤矿安全监督检查执法，煤矿安全专项整治、事故隐患整改及复</w:t>
      </w:r>
      <w:r>
        <w:rPr>
          <w:rFonts w:ascii="方正仿宋_GBK" w:eastAsia="方正仿宋_GBK" w:hAnsi="方正仿宋_GBK" w:hint="eastAsia"/>
          <w:sz w:val="32"/>
          <w:szCs w:val="32"/>
        </w:rPr>
        <w:lastRenderedPageBreak/>
        <w:t>查，煤矿事故责任人责任追究的落实等情况进行监督检查，并向有关地方人民政府及其有关部门提出意见和建议。</w:t>
      </w:r>
    </w:p>
    <w:p w:rsidR="007A42B8" w:rsidRDefault="007A42B8" w:rsidP="007A42B8">
      <w:pPr>
        <w:rPr>
          <w:rFonts w:ascii="方正仿宋_GBK" w:eastAsia="方正仿宋_GBK" w:hAnsi="方正仿宋_GBK"/>
          <w:sz w:val="32"/>
          <w:szCs w:val="32"/>
        </w:rPr>
      </w:pPr>
      <w:r>
        <w:rPr>
          <w:rFonts w:ascii="方正仿宋_GBK" w:eastAsia="方正仿宋_GBK" w:hAnsi="方正仿宋_GBK" w:hint="eastAsia"/>
          <w:sz w:val="32"/>
          <w:szCs w:val="32"/>
        </w:rPr>
        <w:t xml:space="preserve">    4.依法组织或参与煤矿事故的调查处理，监督事故查处的落实情况；负责煤矿安全监察调度、统计信息工作，发布煤矿事故、职业危害等煤矿安全生产信息。</w:t>
      </w:r>
    </w:p>
    <w:p w:rsidR="007A42B8" w:rsidRDefault="007A42B8" w:rsidP="007A42B8">
      <w:pPr>
        <w:rPr>
          <w:rFonts w:ascii="方正仿宋_GBK" w:eastAsia="方正仿宋_GBK" w:hAnsi="方正仿宋_GBK"/>
          <w:sz w:val="32"/>
          <w:szCs w:val="32"/>
        </w:rPr>
      </w:pPr>
      <w:r>
        <w:rPr>
          <w:rFonts w:ascii="方正仿宋_GBK" w:eastAsia="方正仿宋_GBK" w:hAnsi="方正仿宋_GBK" w:hint="eastAsia"/>
          <w:sz w:val="32"/>
          <w:szCs w:val="32"/>
        </w:rPr>
        <w:t xml:space="preserve">    5.指导煤矿安全生产科研和科技成果推广工作，研究提出煤矿安全生产科技规划建议；组织对煤矿使用的设备、材料、仪器仪表、安全标志、劳动防护用品的安全监察工作。</w:t>
      </w:r>
    </w:p>
    <w:p w:rsidR="007A42B8" w:rsidRDefault="007A42B8" w:rsidP="007A42B8">
      <w:pPr>
        <w:rPr>
          <w:rFonts w:ascii="方正仿宋_GBK" w:eastAsia="方正仿宋_GBK" w:hAnsi="方正仿宋_GBK"/>
          <w:sz w:val="32"/>
          <w:szCs w:val="32"/>
        </w:rPr>
      </w:pPr>
      <w:r>
        <w:rPr>
          <w:rFonts w:ascii="方正仿宋_GBK" w:eastAsia="方正仿宋_GBK" w:hAnsi="方正仿宋_GBK" w:hint="eastAsia"/>
          <w:sz w:val="32"/>
          <w:szCs w:val="32"/>
        </w:rPr>
        <w:t xml:space="preserve">    6.按照职责范围，负责对从事煤矿安全生产条件和煤矿设备设施检测检验、安全评价、安全培训、安全咨询等业务的社会中介机构的资质管理工作，并进行监督检查。</w:t>
      </w:r>
    </w:p>
    <w:p w:rsidR="007A42B8" w:rsidRDefault="007A42B8" w:rsidP="007A42B8">
      <w:pPr>
        <w:rPr>
          <w:rFonts w:ascii="方正仿宋_GBK" w:eastAsia="方正仿宋_GBK" w:hAnsi="方正仿宋_GBK"/>
          <w:sz w:val="32"/>
          <w:szCs w:val="32"/>
        </w:rPr>
      </w:pPr>
      <w:r>
        <w:rPr>
          <w:rFonts w:ascii="方正仿宋_GBK" w:eastAsia="方正仿宋_GBK" w:hAnsi="方正仿宋_GBK" w:hint="eastAsia"/>
          <w:sz w:val="32"/>
          <w:szCs w:val="32"/>
        </w:rPr>
        <w:t xml:space="preserve">    7.负责煤矿安全生产许可证的颁发管理；组织、指导煤矿安全程度评估工作。</w:t>
      </w:r>
    </w:p>
    <w:p w:rsidR="007A42B8" w:rsidRDefault="007A42B8" w:rsidP="007A42B8">
      <w:pPr>
        <w:rPr>
          <w:rFonts w:ascii="方正仿宋_GBK" w:eastAsia="方正仿宋_GBK" w:hAnsi="方正仿宋_GBK"/>
          <w:sz w:val="32"/>
          <w:szCs w:val="32"/>
        </w:rPr>
      </w:pPr>
      <w:r>
        <w:rPr>
          <w:rFonts w:ascii="方正仿宋_GBK" w:eastAsia="方正仿宋_GBK" w:hAnsi="方正仿宋_GBK" w:hint="eastAsia"/>
          <w:sz w:val="32"/>
          <w:szCs w:val="32"/>
        </w:rPr>
        <w:t xml:space="preserve">    8.负责煤炭行业注册安全工程师的管理工作。</w:t>
      </w:r>
    </w:p>
    <w:p w:rsidR="007A42B8" w:rsidRDefault="007A42B8" w:rsidP="007A42B8">
      <w:pPr>
        <w:rPr>
          <w:rFonts w:ascii="方正仿宋_GBK" w:eastAsia="方正仿宋_GBK" w:hAnsi="方正仿宋_GBK"/>
          <w:sz w:val="32"/>
          <w:szCs w:val="32"/>
        </w:rPr>
      </w:pPr>
      <w:r>
        <w:rPr>
          <w:rFonts w:ascii="方正仿宋_GBK" w:eastAsia="方正仿宋_GBK" w:hAnsi="方正仿宋_GBK" w:hint="eastAsia"/>
          <w:sz w:val="32"/>
          <w:szCs w:val="32"/>
        </w:rPr>
        <w:t xml:space="preserve">    9.按照职责范围，依法监督检查煤矿企业建设项目安全设施“三同时”情况，组织煤矿建设工程安全设施的设计审查和竣工验收；监督检查为煤矿服务的矿井建设施工、煤炭洗选等企业的安全生产工作。</w:t>
      </w:r>
    </w:p>
    <w:p w:rsidR="007A42B8" w:rsidRDefault="007A42B8" w:rsidP="007A42B8">
      <w:pPr>
        <w:rPr>
          <w:rFonts w:ascii="方正仿宋_GBK" w:eastAsia="方正仿宋_GBK" w:hAnsi="方正仿宋_GBK"/>
          <w:sz w:val="32"/>
          <w:szCs w:val="32"/>
        </w:rPr>
      </w:pPr>
      <w:r>
        <w:rPr>
          <w:rFonts w:ascii="方正仿宋_GBK" w:eastAsia="方正仿宋_GBK" w:hAnsi="方正仿宋_GBK" w:hint="eastAsia"/>
          <w:sz w:val="32"/>
          <w:szCs w:val="32"/>
        </w:rPr>
        <w:t xml:space="preserve">    10.指导、协调或参与煤矿事故应急救援工作。</w:t>
      </w:r>
    </w:p>
    <w:p w:rsidR="007A42B8" w:rsidRDefault="007A42B8" w:rsidP="007A42B8">
      <w:pPr>
        <w:rPr>
          <w:rFonts w:ascii="方正仿宋_GBK" w:eastAsia="方正仿宋_GBK" w:hAnsi="方正仿宋_GBK"/>
          <w:sz w:val="32"/>
          <w:szCs w:val="32"/>
        </w:rPr>
      </w:pPr>
      <w:r>
        <w:rPr>
          <w:rFonts w:ascii="方正仿宋_GBK" w:eastAsia="方正仿宋_GBK" w:hAnsi="方正仿宋_GBK" w:hint="eastAsia"/>
          <w:sz w:val="32"/>
          <w:szCs w:val="32"/>
        </w:rPr>
        <w:t xml:space="preserve">    11.负责机关、监察分局和直属单位干部管理及人事、劳动工资和财务管理工作。</w:t>
      </w:r>
    </w:p>
    <w:p w:rsidR="007A42B8" w:rsidRDefault="007A42B8" w:rsidP="007A42B8">
      <w:pPr>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lastRenderedPageBreak/>
        <w:t>12.承办国家安全生产监督管理总局、国家煤矿安全监察局交办的其他事项。</w:t>
      </w:r>
    </w:p>
    <w:p w:rsidR="004F38F0" w:rsidRDefault="009E4A05">
      <w:pPr>
        <w:spacing w:line="560" w:lineRule="exact"/>
        <w:ind w:firstLineChars="200" w:firstLine="640"/>
        <w:rPr>
          <w:rFonts w:ascii="黑体" w:eastAsia="黑体" w:hAnsi="黑体" w:cs="楷体"/>
          <w:bCs/>
          <w:sz w:val="32"/>
          <w:szCs w:val="32"/>
        </w:rPr>
      </w:pPr>
      <w:r>
        <w:rPr>
          <w:rFonts w:ascii="黑体" w:eastAsia="黑体" w:hAnsi="黑体" w:cs="楷体" w:hint="eastAsia"/>
          <w:bCs/>
          <w:sz w:val="32"/>
          <w:szCs w:val="32"/>
        </w:rPr>
        <w:t>二、机构设置</w:t>
      </w:r>
    </w:p>
    <w:p w:rsidR="007A42B8" w:rsidRDefault="007A42B8" w:rsidP="007A42B8">
      <w:pPr>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重庆煤矿安全监察局机关现设7个职能处室：办公室、财务处、政策法规处、科技装备处、安全监察处、事故调查处和人事培训处，按规定设立了纪检组（监察室）、机关党委、离退休干部管理处;设3个派出机构（重庆煤矿安全监察局</w:t>
      </w:r>
      <w:r>
        <w:rPr>
          <w:rFonts w:ascii="方正仿宋_GBK" w:eastAsia="方正仿宋_GBK" w:hAnsi="方正仿宋_GBK" w:hint="eastAsia"/>
          <w:sz w:val="32"/>
          <w:szCs w:val="32"/>
          <w:lang w:val="en-GB"/>
        </w:rPr>
        <w:t>渝中</w:t>
      </w:r>
      <w:r>
        <w:rPr>
          <w:rFonts w:ascii="方正仿宋_GBK" w:eastAsia="方正仿宋_GBK" w:hAnsi="方正仿宋_GBK" w:hint="eastAsia"/>
          <w:sz w:val="32"/>
          <w:szCs w:val="32"/>
        </w:rPr>
        <w:t>、</w:t>
      </w:r>
      <w:r>
        <w:rPr>
          <w:rFonts w:ascii="方正仿宋_GBK" w:eastAsia="方正仿宋_GBK" w:hAnsi="方正仿宋_GBK" w:hint="eastAsia"/>
          <w:sz w:val="32"/>
          <w:szCs w:val="32"/>
          <w:lang w:val="en-GB"/>
        </w:rPr>
        <w:t>渝南</w:t>
      </w:r>
      <w:r>
        <w:rPr>
          <w:rFonts w:ascii="方正仿宋_GBK" w:eastAsia="方正仿宋_GBK" w:hAnsi="方正仿宋_GBK" w:hint="eastAsia"/>
          <w:sz w:val="32"/>
          <w:szCs w:val="32"/>
        </w:rPr>
        <w:t>、</w:t>
      </w:r>
      <w:r>
        <w:rPr>
          <w:rFonts w:ascii="方正仿宋_GBK" w:eastAsia="方正仿宋_GBK" w:hAnsi="方正仿宋_GBK" w:hint="eastAsia"/>
          <w:sz w:val="32"/>
          <w:szCs w:val="32"/>
          <w:lang w:val="en-GB"/>
        </w:rPr>
        <w:t>渝东</w:t>
      </w:r>
      <w:r>
        <w:rPr>
          <w:rFonts w:ascii="方正仿宋_GBK" w:eastAsia="方正仿宋_GBK" w:hAnsi="方正仿宋_GBK" w:hint="eastAsia"/>
          <w:sz w:val="32"/>
          <w:szCs w:val="32"/>
        </w:rPr>
        <w:t>监察</w:t>
      </w:r>
      <w:r>
        <w:rPr>
          <w:rFonts w:ascii="方正仿宋_GBK" w:eastAsia="方正仿宋_GBK" w:hAnsi="方正仿宋_GBK" w:hint="eastAsia"/>
          <w:sz w:val="32"/>
          <w:szCs w:val="32"/>
          <w:lang w:val="en-GB"/>
        </w:rPr>
        <w:t>分局）</w:t>
      </w:r>
      <w:r>
        <w:rPr>
          <w:rFonts w:ascii="方正仿宋_GBK" w:eastAsia="方正仿宋_GBK" w:hAnsi="方正仿宋_GBK" w:hint="eastAsia"/>
          <w:sz w:val="32"/>
          <w:szCs w:val="32"/>
        </w:rPr>
        <w:t>。根据中央机构编制委员会办公室《关于国家煤矿安全监察系统事业单位机构编制的批复》（中央编办复字〔2009〕140号），重庆煤矿安全监察局下设5个事业单位（重庆煤矿安全监察局统计中心、重庆煤矿安全监察局救援指挥中心、重庆煤矿安全监察局机关服务中心、重庆煤矿安全监察局安全技术中心、重庆煤矿安全技术培训中心）。</w:t>
      </w:r>
    </w:p>
    <w:p w:rsidR="004F38F0" w:rsidRDefault="007A42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根据部门决算编报要求，纳入重庆</w:t>
      </w:r>
      <w:r w:rsidR="009E4A05">
        <w:rPr>
          <w:rFonts w:ascii="仿宋" w:eastAsia="仿宋" w:hAnsi="仿宋" w:cs="仿宋" w:hint="eastAsia"/>
          <w:sz w:val="32"/>
          <w:szCs w:val="32"/>
        </w:rPr>
        <w:t>煤矿安全监察局2020年部门决算编报范围的单位包括：</w:t>
      </w:r>
      <w:r>
        <w:rPr>
          <w:rFonts w:ascii="仿宋" w:eastAsia="仿宋" w:hAnsi="仿宋" w:cs="仿宋" w:hint="eastAsia"/>
          <w:sz w:val="32"/>
          <w:szCs w:val="32"/>
        </w:rPr>
        <w:t>重庆</w:t>
      </w:r>
      <w:r w:rsidR="009E4A05">
        <w:rPr>
          <w:rFonts w:ascii="仿宋" w:eastAsia="仿宋" w:hAnsi="仿宋" w:cs="仿宋" w:hint="eastAsia"/>
          <w:sz w:val="32"/>
          <w:szCs w:val="32"/>
        </w:rPr>
        <w:t>煤矿安全监察局本级和</w:t>
      </w:r>
      <w:r>
        <w:rPr>
          <w:rFonts w:ascii="仿宋" w:eastAsia="仿宋" w:hAnsi="仿宋" w:cs="仿宋" w:hint="eastAsia"/>
          <w:sz w:val="32"/>
          <w:szCs w:val="32"/>
        </w:rPr>
        <w:t>3个分局，</w:t>
      </w:r>
      <w:r w:rsidR="003702BE">
        <w:rPr>
          <w:rFonts w:ascii="仿宋" w:eastAsia="仿宋" w:hAnsi="仿宋" w:cs="仿宋" w:hint="eastAsia"/>
          <w:sz w:val="32"/>
          <w:szCs w:val="32"/>
        </w:rPr>
        <w:t>及</w:t>
      </w:r>
      <w:r>
        <w:rPr>
          <w:rFonts w:ascii="仿宋" w:eastAsia="仿宋" w:hAnsi="仿宋" w:cs="仿宋" w:hint="eastAsia"/>
          <w:sz w:val="32"/>
          <w:szCs w:val="32"/>
        </w:rPr>
        <w:t>5个</w:t>
      </w:r>
      <w:r w:rsidR="003702BE">
        <w:rPr>
          <w:rFonts w:ascii="仿宋" w:eastAsia="仿宋" w:hAnsi="仿宋" w:cs="仿宋" w:hint="eastAsia"/>
          <w:sz w:val="32"/>
          <w:szCs w:val="32"/>
        </w:rPr>
        <w:t>事业单位</w:t>
      </w:r>
      <w:r w:rsidR="009E4A05">
        <w:rPr>
          <w:rFonts w:ascii="仿宋" w:eastAsia="仿宋" w:hAnsi="仿宋" w:cs="仿宋" w:hint="eastAsia"/>
          <w:sz w:val="32"/>
          <w:szCs w:val="32"/>
        </w:rPr>
        <w:t>。</w:t>
      </w:r>
    </w:p>
    <w:p w:rsidR="004F38F0" w:rsidRDefault="009E4A05">
      <w:pPr>
        <w:ind w:firstLineChars="200" w:firstLine="640"/>
      </w:pPr>
      <w:r>
        <w:rPr>
          <w:rFonts w:ascii="仿宋" w:eastAsia="仿宋" w:hAnsi="仿宋" w:cs="仿宋" w:hint="eastAsia"/>
          <w:noProof/>
          <w:sz w:val="32"/>
          <w:szCs w:val="32"/>
        </w:rPr>
        <w:lastRenderedPageBreak/>
        <w:drawing>
          <wp:inline distT="0" distB="0" distL="0" distR="0">
            <wp:extent cx="5250180" cy="3002280"/>
            <wp:effectExtent l="19050" t="0" r="7620" b="0"/>
            <wp:docPr id="24" name="图示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F38F0" w:rsidRDefault="003702BE">
      <w:pPr>
        <w:ind w:firstLineChars="200" w:firstLine="640"/>
        <w:jc w:val="left"/>
        <w:rPr>
          <w:rFonts w:ascii="仿宋" w:eastAsia="仿宋" w:hAnsi="仿宋" w:cs="仿宋"/>
          <w:sz w:val="32"/>
          <w:szCs w:val="32"/>
        </w:rPr>
      </w:pPr>
      <w:r>
        <w:rPr>
          <w:rFonts w:ascii="仿宋" w:eastAsia="仿宋" w:hAnsi="仿宋" w:cs="仿宋" w:hint="eastAsia"/>
          <w:sz w:val="32"/>
          <w:szCs w:val="32"/>
        </w:rPr>
        <w:t>纳入重庆</w:t>
      </w:r>
      <w:r w:rsidR="009E4A05">
        <w:rPr>
          <w:rFonts w:ascii="仿宋" w:eastAsia="仿宋" w:hAnsi="仿宋" w:cs="仿宋" w:hint="eastAsia"/>
          <w:sz w:val="32"/>
          <w:szCs w:val="32"/>
        </w:rPr>
        <w:t>煤矿安全监察局2020年部门决算编报范围的单位详细情况见下表：</w:t>
      </w:r>
    </w:p>
    <w:tbl>
      <w:tblPr>
        <w:tblStyle w:val="a6"/>
        <w:tblpPr w:leftFromText="180" w:rightFromText="180" w:vertAnchor="text" w:horzAnchor="page" w:tblpX="1755" w:tblpY="336"/>
        <w:tblOverlap w:val="never"/>
        <w:tblW w:w="8660" w:type="dxa"/>
        <w:tblLayout w:type="fixed"/>
        <w:tblLook w:val="04A0"/>
      </w:tblPr>
      <w:tblGrid>
        <w:gridCol w:w="1472"/>
        <w:gridCol w:w="7188"/>
      </w:tblGrid>
      <w:tr w:rsidR="004F38F0">
        <w:trPr>
          <w:trHeight w:val="623"/>
        </w:trPr>
        <w:tc>
          <w:tcPr>
            <w:tcW w:w="1472" w:type="dxa"/>
          </w:tcPr>
          <w:p w:rsidR="004F38F0" w:rsidRDefault="009E4A05">
            <w:pPr>
              <w:jc w:val="center"/>
              <w:rPr>
                <w:rFonts w:ascii="仿宋" w:eastAsia="仿宋" w:hAnsi="仿宋"/>
                <w:sz w:val="32"/>
                <w:szCs w:val="32"/>
              </w:rPr>
            </w:pPr>
            <w:r>
              <w:rPr>
                <w:rFonts w:ascii="仿宋" w:eastAsia="仿宋" w:hAnsi="仿宋" w:hint="eastAsia"/>
                <w:sz w:val="32"/>
                <w:szCs w:val="32"/>
              </w:rPr>
              <w:t>序号</w:t>
            </w:r>
          </w:p>
        </w:tc>
        <w:tc>
          <w:tcPr>
            <w:tcW w:w="7188" w:type="dxa"/>
          </w:tcPr>
          <w:p w:rsidR="004F38F0" w:rsidRDefault="009E4A05">
            <w:pPr>
              <w:jc w:val="center"/>
              <w:rPr>
                <w:rFonts w:ascii="仿宋" w:eastAsia="仿宋" w:hAnsi="仿宋"/>
                <w:sz w:val="32"/>
                <w:szCs w:val="32"/>
              </w:rPr>
            </w:pPr>
            <w:r>
              <w:rPr>
                <w:rFonts w:ascii="仿宋" w:eastAsia="仿宋" w:hAnsi="仿宋" w:hint="eastAsia"/>
                <w:sz w:val="32"/>
                <w:szCs w:val="32"/>
              </w:rPr>
              <w:t>单 位 名 称</w:t>
            </w:r>
          </w:p>
        </w:tc>
      </w:tr>
      <w:tr w:rsidR="004F38F0">
        <w:trPr>
          <w:trHeight w:val="623"/>
        </w:trPr>
        <w:tc>
          <w:tcPr>
            <w:tcW w:w="1472" w:type="dxa"/>
          </w:tcPr>
          <w:p w:rsidR="004F38F0" w:rsidRDefault="009E4A05">
            <w:pPr>
              <w:jc w:val="center"/>
              <w:rPr>
                <w:rFonts w:ascii="仿宋" w:eastAsia="仿宋" w:hAnsi="仿宋"/>
                <w:sz w:val="32"/>
                <w:szCs w:val="32"/>
              </w:rPr>
            </w:pPr>
            <w:r>
              <w:rPr>
                <w:rFonts w:ascii="仿宋" w:eastAsia="仿宋" w:hAnsi="仿宋" w:hint="eastAsia"/>
                <w:sz w:val="32"/>
                <w:szCs w:val="32"/>
              </w:rPr>
              <w:t>1</w:t>
            </w:r>
          </w:p>
        </w:tc>
        <w:tc>
          <w:tcPr>
            <w:tcW w:w="7188" w:type="dxa"/>
          </w:tcPr>
          <w:p w:rsidR="004F38F0" w:rsidRDefault="00EE3807">
            <w:pPr>
              <w:jc w:val="left"/>
              <w:rPr>
                <w:rFonts w:ascii="仿宋" w:eastAsia="仿宋" w:hAnsi="仿宋"/>
                <w:sz w:val="32"/>
                <w:szCs w:val="32"/>
              </w:rPr>
            </w:pPr>
            <w:r>
              <w:rPr>
                <w:rFonts w:ascii="仿宋" w:eastAsia="仿宋" w:hAnsi="仿宋" w:hint="eastAsia"/>
                <w:sz w:val="32"/>
                <w:szCs w:val="32"/>
              </w:rPr>
              <w:t>重庆</w:t>
            </w:r>
            <w:r w:rsidR="009E4A05">
              <w:rPr>
                <w:rFonts w:ascii="仿宋" w:eastAsia="仿宋" w:hAnsi="仿宋" w:hint="eastAsia"/>
                <w:sz w:val="32"/>
                <w:szCs w:val="32"/>
              </w:rPr>
              <w:t>煤矿安全监察局本级</w:t>
            </w:r>
          </w:p>
        </w:tc>
      </w:tr>
      <w:tr w:rsidR="003702BE">
        <w:trPr>
          <w:trHeight w:val="623"/>
        </w:trPr>
        <w:tc>
          <w:tcPr>
            <w:tcW w:w="1472" w:type="dxa"/>
          </w:tcPr>
          <w:p w:rsidR="003702BE" w:rsidRPr="00EE3807" w:rsidRDefault="00EE3807">
            <w:pPr>
              <w:jc w:val="center"/>
              <w:rPr>
                <w:rFonts w:ascii="仿宋" w:eastAsia="仿宋" w:hAnsi="仿宋"/>
                <w:sz w:val="32"/>
                <w:szCs w:val="32"/>
              </w:rPr>
            </w:pPr>
            <w:r>
              <w:rPr>
                <w:rFonts w:ascii="仿宋" w:eastAsia="仿宋" w:hAnsi="仿宋"/>
                <w:sz w:val="32"/>
                <w:szCs w:val="32"/>
              </w:rPr>
              <w:t>2</w:t>
            </w:r>
          </w:p>
        </w:tc>
        <w:tc>
          <w:tcPr>
            <w:tcW w:w="7188" w:type="dxa"/>
          </w:tcPr>
          <w:p w:rsidR="003702BE" w:rsidRDefault="00EE3807">
            <w:pPr>
              <w:jc w:val="left"/>
              <w:rPr>
                <w:rFonts w:ascii="仿宋" w:eastAsia="仿宋" w:hAnsi="仿宋"/>
                <w:sz w:val="32"/>
                <w:szCs w:val="32"/>
              </w:rPr>
            </w:pPr>
            <w:r>
              <w:rPr>
                <w:rFonts w:ascii="仿宋" w:eastAsia="仿宋" w:hAnsi="仿宋" w:hint="eastAsia"/>
                <w:sz w:val="32"/>
                <w:szCs w:val="32"/>
              </w:rPr>
              <w:t>重庆煤矿安全监察局渝中监察分局</w:t>
            </w:r>
          </w:p>
        </w:tc>
      </w:tr>
      <w:tr w:rsidR="003702BE">
        <w:trPr>
          <w:trHeight w:val="623"/>
        </w:trPr>
        <w:tc>
          <w:tcPr>
            <w:tcW w:w="1472" w:type="dxa"/>
          </w:tcPr>
          <w:p w:rsidR="003702BE" w:rsidRDefault="008A5746">
            <w:pPr>
              <w:jc w:val="center"/>
              <w:rPr>
                <w:rFonts w:ascii="仿宋" w:eastAsia="仿宋" w:hAnsi="仿宋"/>
                <w:sz w:val="32"/>
                <w:szCs w:val="32"/>
              </w:rPr>
            </w:pPr>
            <w:r>
              <w:rPr>
                <w:rFonts w:ascii="仿宋" w:eastAsia="仿宋" w:hAnsi="仿宋" w:hint="eastAsia"/>
                <w:sz w:val="32"/>
                <w:szCs w:val="32"/>
              </w:rPr>
              <w:t>3</w:t>
            </w:r>
          </w:p>
        </w:tc>
        <w:tc>
          <w:tcPr>
            <w:tcW w:w="7188" w:type="dxa"/>
          </w:tcPr>
          <w:p w:rsidR="003702BE" w:rsidRDefault="008A5746">
            <w:pPr>
              <w:jc w:val="left"/>
              <w:rPr>
                <w:rFonts w:ascii="仿宋" w:eastAsia="仿宋" w:hAnsi="仿宋"/>
                <w:sz w:val="32"/>
                <w:szCs w:val="32"/>
              </w:rPr>
            </w:pPr>
            <w:r>
              <w:rPr>
                <w:rFonts w:ascii="仿宋" w:eastAsia="仿宋" w:hAnsi="仿宋" w:hint="eastAsia"/>
                <w:sz w:val="32"/>
                <w:szCs w:val="32"/>
              </w:rPr>
              <w:t>重庆煤矿安全监察局渝南</w:t>
            </w:r>
            <w:r w:rsidRPr="008A5746">
              <w:rPr>
                <w:rFonts w:ascii="仿宋" w:eastAsia="仿宋" w:hAnsi="仿宋" w:hint="eastAsia"/>
                <w:sz w:val="32"/>
                <w:szCs w:val="32"/>
              </w:rPr>
              <w:t>监察分局</w:t>
            </w:r>
          </w:p>
        </w:tc>
      </w:tr>
      <w:tr w:rsidR="003702BE">
        <w:trPr>
          <w:trHeight w:val="623"/>
        </w:trPr>
        <w:tc>
          <w:tcPr>
            <w:tcW w:w="1472" w:type="dxa"/>
          </w:tcPr>
          <w:p w:rsidR="003702BE" w:rsidRDefault="008A5746">
            <w:pPr>
              <w:jc w:val="center"/>
              <w:rPr>
                <w:rFonts w:ascii="仿宋" w:eastAsia="仿宋" w:hAnsi="仿宋"/>
                <w:sz w:val="32"/>
                <w:szCs w:val="32"/>
              </w:rPr>
            </w:pPr>
            <w:r>
              <w:rPr>
                <w:rFonts w:ascii="仿宋" w:eastAsia="仿宋" w:hAnsi="仿宋" w:hint="eastAsia"/>
                <w:sz w:val="32"/>
                <w:szCs w:val="32"/>
              </w:rPr>
              <w:t>4</w:t>
            </w:r>
          </w:p>
        </w:tc>
        <w:tc>
          <w:tcPr>
            <w:tcW w:w="7188" w:type="dxa"/>
          </w:tcPr>
          <w:p w:rsidR="003702BE" w:rsidRPr="008A5746" w:rsidRDefault="008A5746">
            <w:pPr>
              <w:jc w:val="left"/>
              <w:rPr>
                <w:rFonts w:ascii="仿宋" w:eastAsia="仿宋" w:hAnsi="仿宋"/>
                <w:sz w:val="32"/>
                <w:szCs w:val="32"/>
              </w:rPr>
            </w:pPr>
            <w:r>
              <w:rPr>
                <w:rFonts w:ascii="仿宋" w:eastAsia="仿宋" w:hAnsi="仿宋" w:hint="eastAsia"/>
                <w:sz w:val="32"/>
                <w:szCs w:val="32"/>
              </w:rPr>
              <w:t>重庆煤矿安全监察局渝东</w:t>
            </w:r>
            <w:r w:rsidRPr="008A5746">
              <w:rPr>
                <w:rFonts w:ascii="仿宋" w:eastAsia="仿宋" w:hAnsi="仿宋" w:hint="eastAsia"/>
                <w:sz w:val="32"/>
                <w:szCs w:val="32"/>
              </w:rPr>
              <w:t>监察分局</w:t>
            </w:r>
          </w:p>
        </w:tc>
      </w:tr>
      <w:tr w:rsidR="003702BE">
        <w:trPr>
          <w:trHeight w:val="623"/>
        </w:trPr>
        <w:tc>
          <w:tcPr>
            <w:tcW w:w="1472" w:type="dxa"/>
          </w:tcPr>
          <w:p w:rsidR="003702BE" w:rsidRDefault="008A5746">
            <w:pPr>
              <w:jc w:val="center"/>
              <w:rPr>
                <w:rFonts w:ascii="仿宋" w:eastAsia="仿宋" w:hAnsi="仿宋"/>
                <w:sz w:val="32"/>
                <w:szCs w:val="32"/>
              </w:rPr>
            </w:pPr>
            <w:r>
              <w:rPr>
                <w:rFonts w:ascii="仿宋" w:eastAsia="仿宋" w:hAnsi="仿宋" w:hint="eastAsia"/>
                <w:sz w:val="32"/>
                <w:szCs w:val="32"/>
              </w:rPr>
              <w:t>5</w:t>
            </w:r>
          </w:p>
        </w:tc>
        <w:tc>
          <w:tcPr>
            <w:tcW w:w="7188" w:type="dxa"/>
          </w:tcPr>
          <w:p w:rsidR="003702BE" w:rsidRPr="008A5746" w:rsidRDefault="008A5746" w:rsidP="008A5746">
            <w:pPr>
              <w:jc w:val="left"/>
              <w:rPr>
                <w:rFonts w:ascii="仿宋" w:eastAsia="仿宋" w:hAnsi="仿宋"/>
                <w:sz w:val="32"/>
                <w:szCs w:val="32"/>
              </w:rPr>
            </w:pPr>
            <w:r>
              <w:rPr>
                <w:rFonts w:ascii="仿宋" w:eastAsia="仿宋" w:hAnsi="仿宋" w:hint="eastAsia"/>
                <w:sz w:val="32"/>
                <w:szCs w:val="32"/>
              </w:rPr>
              <w:t>重庆</w:t>
            </w:r>
            <w:r w:rsidRPr="008A5746">
              <w:rPr>
                <w:rFonts w:ascii="仿宋" w:eastAsia="仿宋" w:hAnsi="仿宋" w:hint="eastAsia"/>
                <w:sz w:val="32"/>
                <w:szCs w:val="32"/>
              </w:rPr>
              <w:t>煤矿安全监察局统计中心</w:t>
            </w:r>
          </w:p>
        </w:tc>
      </w:tr>
      <w:tr w:rsidR="004F38F0">
        <w:trPr>
          <w:trHeight w:val="623"/>
        </w:trPr>
        <w:tc>
          <w:tcPr>
            <w:tcW w:w="1472" w:type="dxa"/>
          </w:tcPr>
          <w:p w:rsidR="004F38F0" w:rsidRDefault="008A5746">
            <w:pPr>
              <w:jc w:val="center"/>
              <w:rPr>
                <w:rFonts w:ascii="仿宋" w:eastAsia="仿宋" w:hAnsi="仿宋"/>
                <w:sz w:val="32"/>
                <w:szCs w:val="32"/>
              </w:rPr>
            </w:pPr>
            <w:r>
              <w:rPr>
                <w:rFonts w:ascii="仿宋" w:eastAsia="仿宋" w:hAnsi="仿宋"/>
                <w:sz w:val="32"/>
                <w:szCs w:val="32"/>
              </w:rPr>
              <w:t>6</w:t>
            </w:r>
          </w:p>
        </w:tc>
        <w:tc>
          <w:tcPr>
            <w:tcW w:w="7188" w:type="dxa"/>
          </w:tcPr>
          <w:p w:rsidR="004F38F0" w:rsidRDefault="008A5746" w:rsidP="008A5746">
            <w:pPr>
              <w:jc w:val="left"/>
              <w:rPr>
                <w:rFonts w:ascii="仿宋" w:eastAsia="仿宋" w:hAnsi="仿宋"/>
                <w:sz w:val="32"/>
                <w:szCs w:val="32"/>
              </w:rPr>
            </w:pPr>
            <w:r>
              <w:rPr>
                <w:rFonts w:ascii="仿宋" w:eastAsia="仿宋" w:hAnsi="仿宋" w:hint="eastAsia"/>
                <w:sz w:val="32"/>
                <w:szCs w:val="32"/>
              </w:rPr>
              <w:t>重庆</w:t>
            </w:r>
            <w:r w:rsidR="009E4A05">
              <w:rPr>
                <w:rFonts w:ascii="仿宋" w:eastAsia="仿宋" w:hAnsi="仿宋" w:hint="eastAsia"/>
                <w:sz w:val="32"/>
                <w:szCs w:val="32"/>
              </w:rPr>
              <w:t>煤矿安全监察局救援指挥中心</w:t>
            </w:r>
          </w:p>
        </w:tc>
      </w:tr>
      <w:tr w:rsidR="004F38F0">
        <w:trPr>
          <w:trHeight w:val="623"/>
        </w:trPr>
        <w:tc>
          <w:tcPr>
            <w:tcW w:w="1472" w:type="dxa"/>
          </w:tcPr>
          <w:p w:rsidR="004F38F0" w:rsidRDefault="008A5746">
            <w:pPr>
              <w:jc w:val="center"/>
              <w:rPr>
                <w:rFonts w:ascii="仿宋" w:eastAsia="仿宋" w:hAnsi="仿宋"/>
                <w:sz w:val="32"/>
                <w:szCs w:val="32"/>
              </w:rPr>
            </w:pPr>
            <w:r>
              <w:rPr>
                <w:rFonts w:ascii="仿宋" w:eastAsia="仿宋" w:hAnsi="仿宋"/>
                <w:sz w:val="32"/>
                <w:szCs w:val="32"/>
              </w:rPr>
              <w:t>7</w:t>
            </w:r>
          </w:p>
        </w:tc>
        <w:tc>
          <w:tcPr>
            <w:tcW w:w="7188" w:type="dxa"/>
          </w:tcPr>
          <w:p w:rsidR="004F38F0" w:rsidRDefault="008A5746">
            <w:pPr>
              <w:jc w:val="left"/>
              <w:rPr>
                <w:rFonts w:ascii="仿宋" w:eastAsia="仿宋" w:hAnsi="仿宋"/>
                <w:sz w:val="32"/>
                <w:szCs w:val="32"/>
              </w:rPr>
            </w:pPr>
            <w:r>
              <w:rPr>
                <w:rFonts w:ascii="仿宋" w:eastAsia="仿宋" w:hAnsi="仿宋" w:hint="eastAsia"/>
                <w:sz w:val="32"/>
                <w:szCs w:val="32"/>
              </w:rPr>
              <w:t>重庆</w:t>
            </w:r>
            <w:r w:rsidR="009E4A05">
              <w:rPr>
                <w:rFonts w:ascii="仿宋" w:eastAsia="仿宋" w:hAnsi="仿宋" w:hint="eastAsia"/>
                <w:sz w:val="32"/>
                <w:szCs w:val="32"/>
              </w:rPr>
              <w:t>煤矿安全监察局安全技术中心</w:t>
            </w:r>
          </w:p>
        </w:tc>
      </w:tr>
      <w:tr w:rsidR="008A5746">
        <w:trPr>
          <w:trHeight w:val="632"/>
        </w:trPr>
        <w:tc>
          <w:tcPr>
            <w:tcW w:w="1472" w:type="dxa"/>
          </w:tcPr>
          <w:p w:rsidR="008A5746" w:rsidRDefault="008A5746">
            <w:pPr>
              <w:jc w:val="center"/>
              <w:rPr>
                <w:rFonts w:ascii="仿宋" w:eastAsia="仿宋" w:hAnsi="仿宋"/>
                <w:sz w:val="32"/>
                <w:szCs w:val="32"/>
              </w:rPr>
            </w:pPr>
            <w:r>
              <w:rPr>
                <w:rFonts w:ascii="仿宋" w:eastAsia="仿宋" w:hAnsi="仿宋" w:hint="eastAsia"/>
                <w:sz w:val="32"/>
                <w:szCs w:val="32"/>
              </w:rPr>
              <w:t>8</w:t>
            </w:r>
          </w:p>
        </w:tc>
        <w:tc>
          <w:tcPr>
            <w:tcW w:w="7188" w:type="dxa"/>
          </w:tcPr>
          <w:p w:rsidR="008A5746" w:rsidRPr="008A5746" w:rsidRDefault="008A5746">
            <w:pPr>
              <w:jc w:val="left"/>
              <w:rPr>
                <w:rFonts w:ascii="仿宋" w:eastAsia="仿宋" w:hAnsi="仿宋"/>
                <w:sz w:val="32"/>
                <w:szCs w:val="32"/>
              </w:rPr>
            </w:pPr>
            <w:r w:rsidRPr="008A5746">
              <w:rPr>
                <w:rFonts w:ascii="仿宋" w:eastAsia="仿宋" w:hAnsi="仿宋" w:hint="eastAsia"/>
                <w:sz w:val="32"/>
                <w:szCs w:val="32"/>
              </w:rPr>
              <w:t>重庆煤矿安全技术培训中心</w:t>
            </w:r>
          </w:p>
        </w:tc>
      </w:tr>
      <w:tr w:rsidR="004F38F0">
        <w:trPr>
          <w:trHeight w:val="632"/>
        </w:trPr>
        <w:tc>
          <w:tcPr>
            <w:tcW w:w="1472" w:type="dxa"/>
          </w:tcPr>
          <w:p w:rsidR="004F38F0" w:rsidRDefault="008A5746">
            <w:pPr>
              <w:jc w:val="center"/>
              <w:rPr>
                <w:rFonts w:ascii="仿宋" w:eastAsia="仿宋" w:hAnsi="仿宋"/>
                <w:sz w:val="32"/>
                <w:szCs w:val="32"/>
              </w:rPr>
            </w:pPr>
            <w:r>
              <w:rPr>
                <w:rFonts w:ascii="仿宋" w:eastAsia="仿宋" w:hAnsi="仿宋"/>
                <w:sz w:val="32"/>
                <w:szCs w:val="32"/>
              </w:rPr>
              <w:t>9</w:t>
            </w:r>
          </w:p>
        </w:tc>
        <w:tc>
          <w:tcPr>
            <w:tcW w:w="7188" w:type="dxa"/>
          </w:tcPr>
          <w:p w:rsidR="004F38F0" w:rsidRDefault="008A5746">
            <w:pPr>
              <w:jc w:val="left"/>
              <w:rPr>
                <w:rFonts w:ascii="仿宋" w:eastAsia="仿宋" w:hAnsi="仿宋"/>
                <w:sz w:val="32"/>
                <w:szCs w:val="32"/>
              </w:rPr>
            </w:pPr>
            <w:r>
              <w:rPr>
                <w:rFonts w:ascii="仿宋" w:eastAsia="仿宋" w:hAnsi="仿宋" w:hint="eastAsia"/>
                <w:sz w:val="32"/>
                <w:szCs w:val="32"/>
              </w:rPr>
              <w:t>重庆</w:t>
            </w:r>
            <w:r w:rsidR="009E4A05">
              <w:rPr>
                <w:rFonts w:ascii="仿宋" w:eastAsia="仿宋" w:hAnsi="仿宋" w:hint="eastAsia"/>
                <w:sz w:val="32"/>
                <w:szCs w:val="32"/>
              </w:rPr>
              <w:t>煤矿安全监察局机关服务中心</w:t>
            </w:r>
          </w:p>
        </w:tc>
      </w:tr>
    </w:tbl>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B7792C">
      <w:pPr>
        <w:jc w:val="left"/>
        <w:rPr>
          <w:rFonts w:ascii="黑体" w:eastAsia="黑体" w:hAnsi="黑体" w:cs="黑体"/>
          <w:sz w:val="32"/>
          <w:szCs w:val="32"/>
        </w:rPr>
      </w:pPr>
      <w:r w:rsidRPr="00B7792C">
        <w:rPr>
          <w:rFonts w:ascii="黑体" w:eastAsia="黑体" w:hAnsi="黑体" w:cs="黑体"/>
          <w:noProof/>
          <w:color w:val="000000"/>
          <w:sz w:val="32"/>
          <w:szCs w:val="32"/>
        </w:rPr>
        <w:pict>
          <v:rect id="矩形 9" o:spid="_x0000_s1029" style="position:absolute;margin-left:446.4pt;margin-top:0;width:163.8pt;height:843pt;z-index:251665408;visibility:visible;mso-wrap-distance-left: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" o:allowincell="f" fillcolor="#6e774e" stroked="f">
            <v:fill opacity="22873f"/>
            <v:textbox inset="14.4pt,122.4pt,14.4pt,5.76pt">
              <w:txbxContent>
                <w:p w:rsidR="009E4A05" w:rsidRDefault="009E4A05">
                  <w:pPr>
                    <w:spacing w:line="360" w:lineRule="auto"/>
                    <w:rPr>
                      <w:color w:val="FFFFFF" w:themeColor="background1"/>
                    </w:rPr>
                  </w:pPr>
                </w:p>
              </w:txbxContent>
            </v:textbox>
            <w10:wrap type="square" anchorx="page" anchory="page"/>
          </v:rect>
        </w:pict>
      </w:r>
      <w:r>
        <w:rPr>
          <w:rFonts w:ascii="黑体" w:eastAsia="黑体" w:hAnsi="黑体" w:cs="黑体"/>
          <w:noProof/>
          <w:sz w:val="32"/>
          <w:szCs w:val="32"/>
        </w:rPr>
        <w:pict>
          <v:roundrect id="圆角矩形 27" o:spid="_x0000_s1030" style="position:absolute;margin-left:-77.75pt;margin-top:20.2pt;width:595.2pt;height:169.8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" fillcolor="#c3c3c3 [2166]" strokecolor="#a5a5a5 [3206]" strokeweight=".5pt">
            <v:fill color2="#b6b6b6 [2614]" rotate="t" colors="0 #d2d2d2;.5 #c8c8c8;1 silver" focus="100%" type="gradient">
              <o:fill v:ext="view" type="gradientUnscaled"/>
            </v:fill>
            <v:stroke joinstyle="miter"/>
            <v:textbox>
              <w:txbxContent>
                <w:p w:rsidR="009E4A05" w:rsidRDefault="009E4A05">
                  <w:pPr>
                    <w:ind w:firstLineChars="97" w:firstLine="818"/>
                    <w:rPr>
                      <w:rFonts w:ascii="黑体" w:eastAsia="黑体" w:hAnsi="黑体"/>
                      <w:b/>
                      <w:color w:val="E7E6E6" w:themeColor="background2"/>
                      <w:sz w:val="84"/>
                      <w:szCs w:val="84"/>
                    </w:rPr>
                  </w:pPr>
                  <w:r>
                    <w:rPr>
                      <w:rFonts w:ascii="黑体" w:eastAsia="黑体" w:hAnsi="黑体" w:hint="eastAsia"/>
                      <w:b/>
                      <w:color w:val="E7E6E6" w:themeColor="background2"/>
                      <w:sz w:val="84"/>
                      <w:szCs w:val="84"/>
                    </w:rPr>
                    <w:t>第二部分</w:t>
                  </w:r>
                </w:p>
                <w:p w:rsidR="009E4A05" w:rsidRDefault="009E4A05">
                  <w:pPr>
                    <w:jc w:val="center"/>
                  </w:pPr>
                  <w:r>
                    <w:rPr>
                      <w:rFonts w:ascii="黑体" w:eastAsia="黑体" w:hAnsi="黑体" w:hint="eastAsia"/>
                      <w:b/>
                      <w:color w:val="E7E6E6" w:themeColor="background2"/>
                      <w:sz w:val="84"/>
                      <w:szCs w:val="84"/>
                    </w:rPr>
                    <w:t xml:space="preserve">     2020年度部门决算表</w:t>
                  </w:r>
                </w:p>
              </w:txbxContent>
            </v:textbox>
          </v:roundrect>
        </w:pict>
      </w: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autoSpaceDE w:val="0"/>
        <w:autoSpaceDN w:val="0"/>
        <w:adjustRightInd w:val="0"/>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b/>
          <w:sz w:val="36"/>
        </w:rPr>
      </w:pPr>
    </w:p>
    <w:p w:rsidR="004F38F0" w:rsidRDefault="00B7792C" w:rsidP="002E4F54">
      <w:pPr>
        <w:pStyle w:val="a9"/>
        <w:numPr>
          <w:ilvl w:val="0"/>
          <w:numId w:val="1"/>
        </w:numPr>
        <w:ind w:firstLineChars="0"/>
        <w:jc w:val="left"/>
      </w:pPr>
      <w:r>
        <w:lastRenderedPageBreak/>
        <w:pict>
          <v:shape id="_x0000_i1025" type="#_x0000_t75" style="width:3in;height:3in"/>
        </w:pict>
      </w:r>
      <w:r>
        <w:pict>
          <v:shape id="_x0000_i1026" type="#_x0000_t75" style="width:3in;height:3in"/>
        </w:pict>
      </w:r>
      <w:r>
        <w:pict>
          <v:shape id="_x0000_i1027" type="#_x0000_t75" style="width:3in;height:3in"/>
        </w:pict>
      </w:r>
      <w:r>
        <w:lastRenderedPageBreak/>
        <w:pict>
          <v:shape id="_x0000_i1028" type="#_x0000_t75" style="width:3in;height:3in"/>
        </w:pict>
      </w:r>
    </w:p>
    <w:p w:rsidR="002E4F54" w:rsidRDefault="002E4F54" w:rsidP="002E4F54">
      <w:pPr>
        <w:jc w:val="left"/>
      </w:pPr>
    </w:p>
    <w:p w:rsidR="00074D0C" w:rsidRDefault="00B7792C">
      <w:pPr>
        <w:jc w:val="left"/>
      </w:pPr>
      <w:r>
        <w:rPr>
          <w:noProof/>
        </w:rPr>
        <w:pict>
          <v:rect id="_x0000_s1031" style="position:absolute;margin-left:41.4pt;margin-top:15.5pt;width:554.25pt;height:39.6pt;flip:x;z-index:25167462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" o:allowincell="f" fillcolor="#afafaf" strokecolor="#a5a5a5" strokeweight=".5pt">
            <v:fill color2="#929292" rotate="t" colors="0 #afafaf;.5 #a5a5a5;1 #929292" focus="100%" type="gradient">
              <o:fill v:ext="view" type="gradientUnscaled"/>
            </v:fill>
            <v:shadow on="t" color="#70ad47" origin=",.5" offset="-30.55769mm,-4.83986mm"/>
            <v:textbox inset="36pt,7.2pt,10.8pt,0">
              <w:txbxContent>
                <w:p w:rsidR="009E4A05" w:rsidRDefault="00947F53">
                  <w:pPr>
                    <w:ind w:firstLineChars="196" w:firstLine="708"/>
                    <w:rPr>
                      <w:rFonts w:asciiTheme="majorHAnsi" w:eastAsiaTheme="majorEastAsia" w:hAnsiTheme="majorHAnsi" w:cstheme="majorBidi"/>
                      <w:i/>
                      <w:iCs/>
                      <w:color w:val="FFFFFF" w:themeColor="background1"/>
                      <w:sz w:val="36"/>
                      <w:szCs w:val="36"/>
                    </w:rPr>
                  </w:pPr>
                  <w:r>
                    <w:rPr>
                      <w:rFonts w:hint="eastAsia"/>
                      <w:b/>
                      <w:sz w:val="36"/>
                    </w:rPr>
                    <w:t>重庆</w:t>
                  </w:r>
                  <w:r w:rsidR="009E4A05">
                    <w:rPr>
                      <w:b/>
                      <w:sz w:val="36"/>
                    </w:rPr>
                    <w:t>煤矿安全监察局</w:t>
                  </w:r>
                  <w:r w:rsidR="009E4A05">
                    <w:rPr>
                      <w:b/>
                      <w:sz w:val="36"/>
                    </w:rPr>
                    <w:t>20</w:t>
                  </w:r>
                  <w:r w:rsidR="009E4A05">
                    <w:rPr>
                      <w:rFonts w:hint="eastAsia"/>
                      <w:b/>
                      <w:sz w:val="36"/>
                    </w:rPr>
                    <w:t>20</w:t>
                  </w:r>
                  <w:r w:rsidR="009E4A05">
                    <w:rPr>
                      <w:b/>
                      <w:sz w:val="36"/>
                    </w:rPr>
                    <w:t>年</w:t>
                  </w:r>
                  <w:r w:rsidR="009E4A05">
                    <w:rPr>
                      <w:rFonts w:hint="eastAsia"/>
                      <w:b/>
                      <w:sz w:val="36"/>
                    </w:rPr>
                    <w:t>度</w:t>
                  </w:r>
                  <w:r w:rsidR="009E4A05">
                    <w:rPr>
                      <w:b/>
                      <w:sz w:val="36"/>
                    </w:rPr>
                    <w:t>部门</w:t>
                  </w:r>
                  <w:r w:rsidR="009E4A05">
                    <w:rPr>
                      <w:rFonts w:hint="eastAsia"/>
                      <w:b/>
                      <w:sz w:val="36"/>
                    </w:rPr>
                    <w:t>决</w:t>
                  </w:r>
                  <w:r w:rsidR="009E4A05">
                    <w:rPr>
                      <w:b/>
                      <w:sz w:val="36"/>
                    </w:rPr>
                    <w:t>算</w:t>
                  </w:r>
                  <w:r w:rsidR="009E4A05">
                    <w:rPr>
                      <w:rFonts w:ascii="MS Mincho" w:eastAsia="MS Mincho" w:hAnsi="MS Mincho" w:cs="MS Mincho" w:hint="eastAsia"/>
                      <w:b/>
                      <w:sz w:val="36"/>
                    </w:rPr>
                    <w:t>☞</w:t>
                  </w:r>
                  <w:r w:rsidR="009E4A05">
                    <w:rPr>
                      <w:b/>
                      <w:sz w:val="36"/>
                    </w:rPr>
                    <w:t>部门</w:t>
                  </w:r>
                  <w:r w:rsidR="009E4A05">
                    <w:rPr>
                      <w:rFonts w:hint="eastAsia"/>
                      <w:b/>
                      <w:sz w:val="36"/>
                    </w:rPr>
                    <w:t>决算表</w:t>
                  </w:r>
                </w:p>
              </w:txbxContent>
            </v:textbox>
            <w10:wrap type="square" anchorx="page" anchory="page"/>
          </v:rect>
        </w:pict>
      </w:r>
      <w:r w:rsidR="00074D0C" w:rsidRPr="00074D0C">
        <w:t xml:space="preserve"> </w:t>
      </w:r>
      <w:r w:rsidR="00074D0C" w:rsidRPr="00074D0C">
        <w:rPr>
          <w:rFonts w:hint="eastAsia"/>
          <w:noProof/>
        </w:rPr>
        <w:lastRenderedPageBreak/>
        <w:drawing>
          <wp:inline distT="0" distB="0" distL="0" distR="0">
            <wp:extent cx="5615940" cy="6534756"/>
            <wp:effectExtent l="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5940" cy="6534756"/>
                    </a:xfrm>
                    <a:prstGeom prst="rect">
                      <a:avLst/>
                    </a:prstGeom>
                    <a:noFill/>
                    <a:ln>
                      <a:noFill/>
                    </a:ln>
                  </pic:spPr>
                </pic:pic>
              </a:graphicData>
            </a:graphic>
          </wp:inline>
        </w:drawing>
      </w:r>
    </w:p>
    <w:p w:rsidR="00F226FB" w:rsidRDefault="00F226FB">
      <w:pPr>
        <w:jc w:val="left"/>
      </w:pPr>
    </w:p>
    <w:p w:rsidR="00F226FB" w:rsidRDefault="00F226FB">
      <w:pPr>
        <w:jc w:val="left"/>
      </w:pPr>
    </w:p>
    <w:p w:rsidR="00F226FB" w:rsidRDefault="00F226FB">
      <w:pPr>
        <w:jc w:val="left"/>
      </w:pPr>
    </w:p>
    <w:p w:rsidR="00F226FB" w:rsidRDefault="00F226FB">
      <w:pPr>
        <w:jc w:val="left"/>
      </w:pPr>
    </w:p>
    <w:p w:rsidR="00F226FB" w:rsidRDefault="00F226FB">
      <w:pPr>
        <w:jc w:val="left"/>
      </w:pPr>
    </w:p>
    <w:p w:rsidR="00F226FB" w:rsidRDefault="00F226FB">
      <w:pPr>
        <w:jc w:val="left"/>
      </w:pPr>
    </w:p>
    <w:p w:rsidR="00F226FB" w:rsidRPr="00074D0C" w:rsidRDefault="00F226FB">
      <w:pPr>
        <w:jc w:val="left"/>
        <w:rPr>
          <w:rFonts w:ascii="黑体" w:hAnsi="黑体" w:cs="黑体"/>
          <w:sz w:val="32"/>
          <w:szCs w:val="32"/>
        </w:rPr>
      </w:pPr>
      <w:r w:rsidRPr="00F226FB">
        <w:rPr>
          <w:rFonts w:hint="eastAsia"/>
          <w:noProof/>
        </w:rPr>
        <w:lastRenderedPageBreak/>
        <w:drawing>
          <wp:inline distT="0" distB="0" distL="0" distR="0">
            <wp:extent cx="5615940" cy="4960880"/>
            <wp:effectExtent l="0" t="0" r="381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5940" cy="4960880"/>
                    </a:xfrm>
                    <a:prstGeom prst="rect">
                      <a:avLst/>
                    </a:prstGeom>
                    <a:noFill/>
                    <a:ln>
                      <a:noFill/>
                    </a:ln>
                  </pic:spPr>
                </pic:pic>
              </a:graphicData>
            </a:graphic>
          </wp:inline>
        </w:drawing>
      </w:r>
    </w:p>
    <w:p w:rsidR="004F38F0" w:rsidRDefault="008B0C34">
      <w:pPr>
        <w:pStyle w:val="a9"/>
        <w:ind w:firstLineChars="0" w:firstLine="0"/>
        <w:jc w:val="left"/>
        <w:rPr>
          <w:rFonts w:ascii="黑体" w:eastAsia="黑体" w:hAnsi="黑体" w:cs="黑体"/>
          <w:sz w:val="32"/>
          <w:szCs w:val="32"/>
        </w:rPr>
      </w:pPr>
      <w:r w:rsidRPr="008B0C34">
        <w:rPr>
          <w:noProof/>
        </w:rPr>
        <w:lastRenderedPageBreak/>
        <w:drawing>
          <wp:inline distT="0" distB="0" distL="0" distR="0">
            <wp:extent cx="5615940" cy="4843748"/>
            <wp:effectExtent l="0" t="0" r="381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5940" cy="4843748"/>
                    </a:xfrm>
                    <a:prstGeom prst="rect">
                      <a:avLst/>
                    </a:prstGeom>
                    <a:noFill/>
                    <a:ln>
                      <a:noFill/>
                    </a:ln>
                  </pic:spPr>
                </pic:pic>
              </a:graphicData>
            </a:graphic>
          </wp:inline>
        </w:drawing>
      </w:r>
    </w:p>
    <w:p w:rsidR="007E7C38" w:rsidRPr="007E7C38" w:rsidRDefault="00B7792C" w:rsidP="007E7C38">
      <w:pPr>
        <w:pStyle w:val="a9"/>
        <w:numPr>
          <w:ilvl w:val="0"/>
          <w:numId w:val="2"/>
        </w:numPr>
        <w:ind w:firstLineChars="0"/>
        <w:jc w:val="left"/>
        <w:rPr>
          <w:rFonts w:ascii="黑体" w:eastAsia="黑体" w:hAnsi="黑体" w:cs="黑体"/>
          <w:sz w:val="32"/>
          <w:szCs w:val="32"/>
        </w:rPr>
      </w:pPr>
      <w:r>
        <w:pict>
          <v:shape id="_x0000_i1029" type="#_x0000_t75" style="width:3in;height:3in"/>
        </w:pict>
      </w:r>
      <w:r>
        <w:lastRenderedPageBreak/>
        <w:pict>
          <v:shape id="_x0000_i1030" type="#_x0000_t75" style="width:3in;height:3in"/>
        </w:pict>
      </w:r>
      <w:r>
        <w:pict>
          <v:shape id="_x0000_i1031" type="#_x0000_t75" style="width:3in;height:3in"/>
        </w:pict>
      </w:r>
      <w:r w:rsidR="007E7C38" w:rsidRPr="007E7C38">
        <w:rPr>
          <w:noProof/>
        </w:rPr>
        <w:lastRenderedPageBreak/>
        <w:drawing>
          <wp:inline distT="0" distB="0" distL="0" distR="0">
            <wp:extent cx="5615940" cy="6197160"/>
            <wp:effectExtent l="0" t="0" r="3810" b="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5940" cy="6197160"/>
                    </a:xfrm>
                    <a:prstGeom prst="rect">
                      <a:avLst/>
                    </a:prstGeom>
                    <a:noFill/>
                    <a:ln>
                      <a:noFill/>
                    </a:ln>
                  </pic:spPr>
                </pic:pic>
              </a:graphicData>
            </a:graphic>
          </wp:inline>
        </w:drawing>
      </w:r>
    </w:p>
    <w:p w:rsidR="007E7C38" w:rsidRDefault="007E7C38" w:rsidP="007E7C38">
      <w:pPr>
        <w:pStyle w:val="a9"/>
        <w:numPr>
          <w:ilvl w:val="0"/>
          <w:numId w:val="2"/>
        </w:numPr>
        <w:ind w:firstLineChars="0"/>
        <w:jc w:val="left"/>
        <w:rPr>
          <w:rFonts w:ascii="黑体" w:eastAsia="黑体" w:hAnsi="黑体" w:cs="黑体"/>
          <w:sz w:val="32"/>
          <w:szCs w:val="32"/>
        </w:rPr>
      </w:pPr>
    </w:p>
    <w:p w:rsidR="007E7C38" w:rsidRDefault="007E7C38" w:rsidP="007E7C38">
      <w:pPr>
        <w:pStyle w:val="a9"/>
        <w:numPr>
          <w:ilvl w:val="0"/>
          <w:numId w:val="2"/>
        </w:numPr>
        <w:ind w:firstLineChars="0"/>
        <w:jc w:val="left"/>
        <w:rPr>
          <w:rFonts w:ascii="黑体" w:eastAsia="黑体" w:hAnsi="黑体" w:cs="黑体"/>
          <w:sz w:val="32"/>
          <w:szCs w:val="32"/>
        </w:rPr>
      </w:pPr>
    </w:p>
    <w:p w:rsidR="007E7C38" w:rsidRDefault="007E7C38" w:rsidP="007E7C38">
      <w:pPr>
        <w:pStyle w:val="a9"/>
        <w:numPr>
          <w:ilvl w:val="0"/>
          <w:numId w:val="2"/>
        </w:numPr>
        <w:ind w:firstLineChars="0"/>
        <w:jc w:val="left"/>
        <w:rPr>
          <w:rFonts w:ascii="黑体" w:eastAsia="黑体" w:hAnsi="黑体" w:cs="黑体"/>
          <w:sz w:val="32"/>
          <w:szCs w:val="32"/>
        </w:rPr>
      </w:pPr>
    </w:p>
    <w:p w:rsidR="007E7C38" w:rsidRDefault="007E7C38" w:rsidP="007E7C38">
      <w:pPr>
        <w:pStyle w:val="a9"/>
        <w:numPr>
          <w:ilvl w:val="0"/>
          <w:numId w:val="2"/>
        </w:numPr>
        <w:ind w:firstLineChars="0"/>
        <w:jc w:val="left"/>
        <w:rPr>
          <w:rFonts w:ascii="黑体" w:eastAsia="黑体" w:hAnsi="黑体" w:cs="黑体"/>
          <w:sz w:val="32"/>
          <w:szCs w:val="32"/>
        </w:rPr>
      </w:pPr>
    </w:p>
    <w:p w:rsidR="007E7C38" w:rsidRDefault="007E7C38" w:rsidP="007E7C38">
      <w:pPr>
        <w:pStyle w:val="a9"/>
        <w:numPr>
          <w:ilvl w:val="0"/>
          <w:numId w:val="2"/>
        </w:numPr>
        <w:ind w:firstLineChars="0"/>
        <w:jc w:val="left"/>
        <w:rPr>
          <w:rFonts w:ascii="黑体" w:eastAsia="黑体" w:hAnsi="黑体" w:cs="黑体"/>
          <w:sz w:val="32"/>
          <w:szCs w:val="32"/>
        </w:rPr>
      </w:pPr>
    </w:p>
    <w:p w:rsidR="007E7C38" w:rsidRDefault="007E7C38" w:rsidP="007E7C38">
      <w:pPr>
        <w:pStyle w:val="a9"/>
        <w:numPr>
          <w:ilvl w:val="0"/>
          <w:numId w:val="2"/>
        </w:numPr>
        <w:ind w:firstLineChars="0"/>
        <w:jc w:val="left"/>
        <w:rPr>
          <w:rFonts w:ascii="黑体" w:eastAsia="黑体" w:hAnsi="黑体" w:cs="黑体"/>
          <w:sz w:val="32"/>
          <w:szCs w:val="32"/>
        </w:rPr>
      </w:pPr>
      <w:r w:rsidRPr="007E7C38">
        <w:rPr>
          <w:noProof/>
        </w:rPr>
        <w:lastRenderedPageBreak/>
        <w:drawing>
          <wp:inline distT="0" distB="0" distL="0" distR="0">
            <wp:extent cx="5615940" cy="4819410"/>
            <wp:effectExtent l="0" t="0" r="3810" b="635"/>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5940" cy="4819410"/>
                    </a:xfrm>
                    <a:prstGeom prst="rect">
                      <a:avLst/>
                    </a:prstGeom>
                    <a:noFill/>
                    <a:ln>
                      <a:noFill/>
                    </a:ln>
                  </pic:spPr>
                </pic:pic>
              </a:graphicData>
            </a:graphic>
          </wp:inline>
        </w:drawing>
      </w:r>
    </w:p>
    <w:p w:rsidR="00390941" w:rsidRDefault="00B7792C" w:rsidP="0052095D">
      <w:pPr>
        <w:pStyle w:val="a9"/>
        <w:numPr>
          <w:ilvl w:val="0"/>
          <w:numId w:val="2"/>
        </w:numPr>
        <w:ind w:firstLineChars="0"/>
        <w:jc w:val="left"/>
        <w:rPr>
          <w:rFonts w:ascii="黑体" w:eastAsia="黑体" w:hAnsi="黑体" w:cs="黑体"/>
          <w:sz w:val="32"/>
          <w:szCs w:val="32"/>
        </w:rPr>
      </w:pPr>
      <w:r w:rsidRPr="007E7C38">
        <w:rPr>
          <w:rFonts w:ascii="黑体" w:eastAsia="黑体" w:hAnsi="黑体" w:cs="黑体"/>
          <w:sz w:val="32"/>
          <w:szCs w:val="32"/>
        </w:rPr>
        <w:fldChar w:fldCharType="begin"/>
      </w:r>
      <w:r w:rsidR="009E4A05" w:rsidRPr="007E7C38">
        <w:rPr>
          <w:rFonts w:ascii="黑体" w:eastAsia="黑体" w:hAnsi="黑体" w:cs="黑体"/>
          <w:sz w:val="32"/>
          <w:szCs w:val="32"/>
        </w:rPr>
        <w:instrText xml:space="preserve"> LINK Excel.Sheet.8 "K:\\预决算资料\\预决算公开\\2020年决算公开\\决算公开表\\公开07表：一般公共预算财政拨款!三公" "" \a \p \f 0 </w:instrText>
      </w:r>
      <w:r w:rsidRPr="007E7C38">
        <w:rPr>
          <w:rFonts w:ascii="黑体" w:eastAsia="黑体" w:hAnsi="黑体" w:cs="黑体"/>
          <w:sz w:val="32"/>
          <w:szCs w:val="32"/>
        </w:rPr>
        <w:fldChar w:fldCharType="separate"/>
      </w:r>
      <w:r>
        <w:object w:dxaOrig="1" w:dyaOrig="1">
          <v:shape id="_x0000_i1032" type="#_x0000_t75" style="width:.75pt;height:.75pt"/>
        </w:object>
      </w:r>
      <w:r w:rsidRPr="007E7C38">
        <w:rPr>
          <w:rFonts w:ascii="黑体" w:eastAsia="黑体" w:hAnsi="黑体" w:cs="黑体"/>
          <w:sz w:val="32"/>
          <w:szCs w:val="32"/>
        </w:rPr>
        <w:fldChar w:fldCharType="end"/>
      </w:r>
      <w:r w:rsidRPr="007E7C38">
        <w:rPr>
          <w:rFonts w:ascii="黑体" w:eastAsia="黑体" w:hAnsi="黑体" w:cs="黑体"/>
          <w:sz w:val="32"/>
          <w:szCs w:val="32"/>
        </w:rPr>
        <w:fldChar w:fldCharType="begin"/>
      </w:r>
      <w:r w:rsidR="009E4A05" w:rsidRPr="007E7C38">
        <w:rPr>
          <w:rFonts w:ascii="黑体" w:eastAsia="黑体" w:hAnsi="黑体" w:cs="黑体"/>
          <w:sz w:val="32"/>
          <w:szCs w:val="32"/>
        </w:rPr>
        <w:instrText xml:space="preserve"> LINK Excel.Sheet.8 "K:\\预决算资料\\预决算公开\\2020年决算公开\\决算公开表\\公开07表：一般公共预算财政拨款!三公" "" \a \p \f 0 </w:instrText>
      </w:r>
      <w:r w:rsidRPr="007E7C38">
        <w:rPr>
          <w:rFonts w:ascii="黑体" w:eastAsia="黑体" w:hAnsi="黑体" w:cs="黑体"/>
          <w:sz w:val="32"/>
          <w:szCs w:val="32"/>
        </w:rPr>
        <w:fldChar w:fldCharType="separate"/>
      </w:r>
      <w:r>
        <w:object w:dxaOrig="1" w:dyaOrig="1">
          <v:shape id="_x0000_i1033" type="#_x0000_t75" style="width:.75pt;height:.75pt"/>
        </w:object>
      </w:r>
      <w:r w:rsidRPr="007E7C38">
        <w:rPr>
          <w:rFonts w:ascii="黑体" w:eastAsia="黑体" w:hAnsi="黑体" w:cs="黑体"/>
          <w:sz w:val="32"/>
          <w:szCs w:val="32"/>
        </w:rPr>
        <w:fldChar w:fldCharType="end"/>
      </w:r>
      <w:r w:rsidRPr="007E7C38">
        <w:rPr>
          <w:rFonts w:ascii="黑体" w:eastAsia="黑体" w:hAnsi="黑体" w:cs="黑体"/>
          <w:sz w:val="32"/>
          <w:szCs w:val="32"/>
        </w:rPr>
        <w:fldChar w:fldCharType="begin"/>
      </w:r>
      <w:r w:rsidR="009E4A05" w:rsidRPr="007E7C38">
        <w:rPr>
          <w:rFonts w:ascii="黑体" w:eastAsia="黑体" w:hAnsi="黑体" w:cs="黑体"/>
          <w:sz w:val="32"/>
          <w:szCs w:val="32"/>
        </w:rPr>
        <w:instrText xml:space="preserve"> LINK Excel.Sheet.8 "K:\\预决算资料\\预决算公开\\2020年决算公开\\决算公开表\\公开07表：一般公共预算财政拨款!三公" "" \a \p \f 0 </w:instrText>
      </w:r>
      <w:r w:rsidRPr="007E7C38">
        <w:rPr>
          <w:rFonts w:ascii="黑体" w:eastAsia="黑体" w:hAnsi="黑体" w:cs="黑体"/>
          <w:sz w:val="32"/>
          <w:szCs w:val="32"/>
        </w:rPr>
        <w:fldChar w:fldCharType="separate"/>
      </w:r>
      <w:r>
        <w:object w:dxaOrig="1" w:dyaOrig="1">
          <v:shape id="_x0000_i1034" type="#_x0000_t75" style="width:.75pt;height:.75pt"/>
        </w:object>
      </w:r>
      <w:r w:rsidRPr="007E7C38">
        <w:rPr>
          <w:rFonts w:ascii="黑体" w:eastAsia="黑体" w:hAnsi="黑体" w:cs="黑体"/>
          <w:sz w:val="32"/>
          <w:szCs w:val="32"/>
        </w:rPr>
        <w:lastRenderedPageBreak/>
        <w:fldChar w:fldCharType="end"/>
      </w:r>
      <w:r w:rsidR="0052095D" w:rsidRPr="0052095D">
        <w:rPr>
          <w:noProof/>
        </w:rPr>
        <w:drawing>
          <wp:inline distT="0" distB="0" distL="0" distR="0">
            <wp:extent cx="5615940" cy="5042457"/>
            <wp:effectExtent l="0" t="0" r="3810" b="635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5940" cy="5042457"/>
                    </a:xfrm>
                    <a:prstGeom prst="rect">
                      <a:avLst/>
                    </a:prstGeom>
                    <a:noFill/>
                    <a:ln>
                      <a:noFill/>
                    </a:ln>
                  </pic:spPr>
                </pic:pic>
              </a:graphicData>
            </a:graphic>
          </wp:inline>
        </w:drawing>
      </w:r>
    </w:p>
    <w:p w:rsidR="00390941" w:rsidRDefault="00390941" w:rsidP="0052095D">
      <w:pPr>
        <w:pStyle w:val="a9"/>
        <w:numPr>
          <w:ilvl w:val="0"/>
          <w:numId w:val="2"/>
        </w:numPr>
        <w:ind w:firstLineChars="0"/>
        <w:jc w:val="left"/>
        <w:rPr>
          <w:rFonts w:ascii="黑体" w:eastAsia="黑体" w:hAnsi="黑体" w:cs="黑体"/>
          <w:sz w:val="32"/>
          <w:szCs w:val="32"/>
        </w:rPr>
      </w:pPr>
    </w:p>
    <w:p w:rsidR="004F38F0" w:rsidRPr="007E7C38" w:rsidRDefault="00B7792C" w:rsidP="0052095D">
      <w:pPr>
        <w:pStyle w:val="a9"/>
        <w:numPr>
          <w:ilvl w:val="0"/>
          <w:numId w:val="2"/>
        </w:numPr>
        <w:ind w:firstLineChars="0"/>
        <w:jc w:val="left"/>
        <w:rPr>
          <w:rFonts w:ascii="黑体" w:eastAsia="黑体" w:hAnsi="黑体" w:cs="黑体"/>
          <w:sz w:val="32"/>
          <w:szCs w:val="32"/>
        </w:rPr>
      </w:pPr>
      <w:r w:rsidRPr="007E7C38">
        <w:rPr>
          <w:rFonts w:ascii="黑体" w:eastAsia="黑体" w:hAnsi="黑体" w:cs="黑体"/>
          <w:sz w:val="32"/>
          <w:szCs w:val="32"/>
        </w:rPr>
        <w:fldChar w:fldCharType="begin"/>
      </w:r>
      <w:r w:rsidR="009E4A05" w:rsidRPr="007E7C38">
        <w:rPr>
          <w:rFonts w:ascii="黑体" w:eastAsia="黑体" w:hAnsi="黑体" w:cs="黑体"/>
          <w:sz w:val="32"/>
          <w:szCs w:val="32"/>
        </w:rPr>
        <w:instrText xml:space="preserve"> LINK Excel.Sheet.8 "K:\\预决算资料\\预决算公开\\2020年决算公开\\决算公开表\\公开07表：一般公共预算财政拨款!三公" "" \a \p \f 0 </w:instrText>
      </w:r>
      <w:r w:rsidRPr="007E7C38">
        <w:rPr>
          <w:rFonts w:ascii="黑体" w:eastAsia="黑体" w:hAnsi="黑体" w:cs="黑体"/>
          <w:sz w:val="32"/>
          <w:szCs w:val="32"/>
        </w:rPr>
        <w:fldChar w:fldCharType="separate"/>
      </w:r>
      <w:r>
        <w:object w:dxaOrig="1" w:dyaOrig="1">
          <v:shape id="_x0000_i1035" type="#_x0000_t75" style="width:.75pt;height:.75pt"/>
        </w:object>
      </w:r>
      <w:r w:rsidRPr="007E7C38">
        <w:rPr>
          <w:rFonts w:ascii="黑体" w:eastAsia="黑体" w:hAnsi="黑体" w:cs="黑体"/>
          <w:sz w:val="32"/>
          <w:szCs w:val="32"/>
        </w:rPr>
        <w:fldChar w:fldCharType="end"/>
      </w:r>
    </w:p>
    <w:p w:rsidR="004F38F0" w:rsidRDefault="00390941">
      <w:pPr>
        <w:jc w:val="left"/>
        <w:rPr>
          <w:rFonts w:ascii="黑体" w:eastAsia="黑体" w:hAnsi="黑体" w:cs="黑体"/>
          <w:sz w:val="32"/>
          <w:szCs w:val="32"/>
        </w:rPr>
      </w:pPr>
      <w:r w:rsidRPr="00390941">
        <w:rPr>
          <w:rFonts w:hint="eastAsia"/>
          <w:noProof/>
        </w:rPr>
        <w:drawing>
          <wp:inline distT="0" distB="0" distL="0" distR="0">
            <wp:extent cx="5615940" cy="1819658"/>
            <wp:effectExtent l="0" t="0" r="3810" b="9525"/>
            <wp:docPr id="30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5940" cy="1819658"/>
                    </a:xfrm>
                    <a:prstGeom prst="rect">
                      <a:avLst/>
                    </a:prstGeom>
                    <a:noFill/>
                    <a:ln>
                      <a:noFill/>
                    </a:ln>
                  </pic:spPr>
                </pic:pic>
              </a:graphicData>
            </a:graphic>
          </wp:inline>
        </w:drawing>
      </w:r>
    </w:p>
    <w:p w:rsidR="004F38F0" w:rsidRDefault="004F38F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r w:rsidRPr="00AB76A0">
        <w:rPr>
          <w:noProof/>
        </w:rPr>
        <w:lastRenderedPageBreak/>
        <w:drawing>
          <wp:inline distT="0" distB="0" distL="0" distR="0">
            <wp:extent cx="5615940" cy="2314142"/>
            <wp:effectExtent l="0" t="0" r="381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5940" cy="2314142"/>
                    </a:xfrm>
                    <a:prstGeom prst="rect">
                      <a:avLst/>
                    </a:prstGeom>
                    <a:noFill/>
                    <a:ln>
                      <a:noFill/>
                    </a:ln>
                  </pic:spPr>
                </pic:pic>
              </a:graphicData>
            </a:graphic>
          </wp:inline>
        </w:drawing>
      </w: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r w:rsidRPr="00AB76A0">
        <w:rPr>
          <w:noProof/>
        </w:rPr>
        <w:drawing>
          <wp:inline distT="0" distB="0" distL="0" distR="0">
            <wp:extent cx="5615940" cy="2323089"/>
            <wp:effectExtent l="0" t="0" r="3810" b="1270"/>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5940" cy="2323089"/>
                    </a:xfrm>
                    <a:prstGeom prst="rect">
                      <a:avLst/>
                    </a:prstGeom>
                    <a:noFill/>
                    <a:ln>
                      <a:noFill/>
                    </a:ln>
                  </pic:spPr>
                </pic:pic>
              </a:graphicData>
            </a:graphic>
          </wp:inline>
        </w:drawing>
      </w: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AB76A0" w:rsidRDefault="00AB76A0">
      <w:pPr>
        <w:jc w:val="left"/>
        <w:rPr>
          <w:rFonts w:ascii="黑体" w:eastAsia="黑体" w:hAnsi="黑体" w:cs="黑体"/>
          <w:sz w:val="32"/>
          <w:szCs w:val="32"/>
        </w:rPr>
      </w:pPr>
    </w:p>
    <w:p w:rsidR="004F38F0" w:rsidRDefault="00B7792C">
      <w:pPr>
        <w:jc w:val="left"/>
        <w:rPr>
          <w:rFonts w:ascii="黑体" w:eastAsia="黑体" w:hAnsi="黑体" w:cs="黑体"/>
          <w:sz w:val="32"/>
          <w:szCs w:val="32"/>
        </w:rPr>
      </w:pPr>
      <w:r w:rsidRPr="00B7792C">
        <w:rPr>
          <w:rFonts w:ascii="黑体" w:eastAsia="黑体" w:hAnsi="黑体" w:cs="黑体"/>
          <w:noProof/>
          <w:color w:val="000000"/>
          <w:sz w:val="32"/>
          <w:szCs w:val="32"/>
        </w:rPr>
        <w:pict>
          <v:rect id="_x0000_s1032" style="position:absolute;margin-left:433.65pt;margin-top:1.55pt;width:161.4pt;height:839.2pt;z-index:251661312;visibility:visible;mso-wrap-distance-left: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" o:allowincell="f" fillcolor="#6e774e" stroked="f">
            <v:fill opacity="22873f"/>
            <v:textbox inset="14.4pt,122.4pt,14.4pt,5.76pt">
              <w:txbxContent>
                <w:p w:rsidR="009E4A05" w:rsidRDefault="009E4A05">
                  <w:pPr>
                    <w:spacing w:line="360" w:lineRule="auto"/>
                    <w:rPr>
                      <w:color w:val="FFFFFF" w:themeColor="background1"/>
                    </w:rPr>
                  </w:pPr>
                </w:p>
              </w:txbxContent>
            </v:textbox>
            <w10:wrap type="square" anchorx="page" anchory="page"/>
          </v:rect>
        </w:pict>
      </w:r>
      <w:r>
        <w:rPr>
          <w:rFonts w:ascii="黑体" w:eastAsia="黑体" w:hAnsi="黑体" w:cs="黑体"/>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9" o:spid="_x0000_s1033" type="#_x0000_t176" style="position:absolute;margin-left:-77.75pt;margin-top:1.65pt;width:597pt;height:169.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" fillcolor="#c3c3c3 [2166]" strokecolor="#a5a5a5 [3206]" strokeweight=".5pt">
            <v:fill color2="#b6b6b6 [2614]" rotate="t" colors="0 #d2d2d2;.5 #c8c8c8;1 silver" focus="100%" type="gradient">
              <o:fill v:ext="view" type="gradientUnscaled"/>
            </v:fill>
            <v:textbox>
              <w:txbxContent>
                <w:p w:rsidR="009E4A05" w:rsidRDefault="009E4A05">
                  <w:pPr>
                    <w:rPr>
                      <w:rFonts w:ascii="黑体" w:eastAsia="黑体" w:hAnsi="黑体"/>
                      <w:b/>
                      <w:color w:val="E7E6E6" w:themeColor="background2"/>
                      <w:sz w:val="84"/>
                      <w:szCs w:val="84"/>
                    </w:rPr>
                  </w:pPr>
                  <w:r>
                    <w:rPr>
                      <w:rFonts w:ascii="黑体" w:eastAsia="黑体" w:hAnsi="黑体" w:hint="eastAsia"/>
                      <w:b/>
                      <w:color w:val="E7E6E6" w:themeColor="background2"/>
                      <w:sz w:val="84"/>
                      <w:szCs w:val="84"/>
                    </w:rPr>
                    <w:t>第三部分</w:t>
                  </w:r>
                </w:p>
                <w:p w:rsidR="009E4A05" w:rsidRDefault="009E4A05">
                  <w:pPr>
                    <w:jc w:val="center"/>
                  </w:pPr>
                  <w:r>
                    <w:rPr>
                      <w:rFonts w:ascii="黑体" w:eastAsia="黑体" w:hAnsi="黑体" w:hint="eastAsia"/>
                      <w:b/>
                      <w:color w:val="E7E6E6" w:themeColor="background2"/>
                      <w:sz w:val="84"/>
                      <w:szCs w:val="84"/>
                    </w:rPr>
                    <w:t xml:space="preserve">  2020年度部门决算情况说明</w:t>
                  </w:r>
                </w:p>
              </w:txbxContent>
            </v:textbox>
          </v:shape>
        </w:pict>
      </w: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黑体"/>
          <w:sz w:val="32"/>
          <w:szCs w:val="32"/>
        </w:rPr>
      </w:pPr>
    </w:p>
    <w:p w:rsidR="004F38F0" w:rsidRDefault="004F38F0">
      <w:pPr>
        <w:jc w:val="left"/>
        <w:rPr>
          <w:rFonts w:ascii="黑体" w:eastAsia="黑体" w:hAnsi="黑体" w:cs="楷体"/>
          <w:bCs/>
          <w:sz w:val="32"/>
          <w:szCs w:val="32"/>
        </w:rPr>
      </w:pPr>
    </w:p>
    <w:p w:rsidR="004F38F0" w:rsidRDefault="00B7792C" w:rsidP="004F4A18">
      <w:pPr>
        <w:ind w:firstLineChars="296" w:firstLine="622"/>
        <w:jc w:val="left"/>
        <w:rPr>
          <w:rFonts w:ascii="黑体" w:eastAsia="黑体" w:hAnsi="黑体" w:cs="黑体"/>
          <w:sz w:val="32"/>
          <w:szCs w:val="32"/>
        </w:rPr>
      </w:pPr>
      <w:r w:rsidRPr="00B7792C">
        <w:rPr>
          <w:noProof/>
        </w:rPr>
        <w:lastRenderedPageBreak/>
        <w:pict>
          <v:rect id="_x0000_s1034" style="position:absolute;left:0;text-align:left;margin-left:22.2pt;margin-top:12pt;width:579pt;height:39.6pt;flip:x;z-index:251668480;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" o:allowincell="f" fillcolor="#afafaf" strokecolor="#a5a5a5" strokeweight=".5pt">
            <v:fill color2="#929292" rotate="t" colors="0 #afafaf;.5 #a5a5a5;1 #929292" focus="100%" type="gradient">
              <o:fill v:ext="view" type="gradientUnscaled"/>
            </v:fill>
            <v:shadow on="t" color="#70ad47" origin=",.5" offset="-30.55769mm,-4.83986mm"/>
            <v:textbox inset="36pt,7.2pt,10.8pt,0">
              <w:txbxContent>
                <w:p w:rsidR="009E4A05" w:rsidRDefault="00667234">
                  <w:pPr>
                    <w:ind w:firstLineChars="196" w:firstLine="708"/>
                    <w:rPr>
                      <w:rFonts w:asciiTheme="majorHAnsi" w:eastAsiaTheme="majorEastAsia" w:hAnsiTheme="majorHAnsi" w:cstheme="majorBidi"/>
                      <w:i/>
                      <w:iCs/>
                      <w:color w:val="FFFFFF" w:themeColor="background1"/>
                      <w:sz w:val="36"/>
                      <w:szCs w:val="36"/>
                    </w:rPr>
                  </w:pPr>
                  <w:r>
                    <w:rPr>
                      <w:rFonts w:hint="eastAsia"/>
                      <w:b/>
                      <w:sz w:val="36"/>
                    </w:rPr>
                    <w:t>重庆</w:t>
                  </w:r>
                  <w:r w:rsidR="009E4A05">
                    <w:rPr>
                      <w:b/>
                      <w:sz w:val="36"/>
                    </w:rPr>
                    <w:t>煤矿安全监察局</w:t>
                  </w:r>
                  <w:r w:rsidR="009E4A05">
                    <w:rPr>
                      <w:b/>
                      <w:sz w:val="36"/>
                    </w:rPr>
                    <w:t>20</w:t>
                  </w:r>
                  <w:r w:rsidR="009E4A05">
                    <w:rPr>
                      <w:rFonts w:hint="eastAsia"/>
                      <w:b/>
                      <w:sz w:val="36"/>
                    </w:rPr>
                    <w:t>20</w:t>
                  </w:r>
                  <w:r w:rsidR="009E4A05">
                    <w:rPr>
                      <w:b/>
                      <w:sz w:val="36"/>
                    </w:rPr>
                    <w:t>年</w:t>
                  </w:r>
                  <w:r w:rsidR="009E4A05">
                    <w:rPr>
                      <w:rFonts w:hint="eastAsia"/>
                      <w:b/>
                      <w:sz w:val="36"/>
                    </w:rPr>
                    <w:t>度</w:t>
                  </w:r>
                  <w:r w:rsidR="009E4A05">
                    <w:rPr>
                      <w:b/>
                      <w:sz w:val="36"/>
                    </w:rPr>
                    <w:t>部门</w:t>
                  </w:r>
                  <w:r w:rsidR="009E4A05">
                    <w:rPr>
                      <w:rFonts w:hint="eastAsia"/>
                      <w:b/>
                      <w:sz w:val="36"/>
                    </w:rPr>
                    <w:t>决</w:t>
                  </w:r>
                  <w:r w:rsidR="009E4A05">
                    <w:rPr>
                      <w:b/>
                      <w:sz w:val="36"/>
                    </w:rPr>
                    <w:t>算</w:t>
                  </w:r>
                  <w:r w:rsidR="009E4A05">
                    <w:rPr>
                      <w:rFonts w:ascii="MS Mincho" w:eastAsia="MS Mincho" w:hAnsi="MS Mincho" w:cs="MS Mincho" w:hint="eastAsia"/>
                      <w:b/>
                      <w:sz w:val="36"/>
                    </w:rPr>
                    <w:t>☞</w:t>
                  </w:r>
                  <w:r w:rsidR="009E4A05">
                    <w:rPr>
                      <w:rFonts w:hint="eastAsia"/>
                      <w:b/>
                      <w:sz w:val="36"/>
                    </w:rPr>
                    <w:t>情况说明</w:t>
                  </w:r>
                </w:p>
              </w:txbxContent>
            </v:textbox>
            <w10:wrap type="square" anchorx="page" anchory="page"/>
          </v:rect>
        </w:pict>
      </w:r>
      <w:r w:rsidR="009E4A05">
        <w:rPr>
          <w:rFonts w:ascii="黑体" w:eastAsia="黑体" w:hAnsi="黑体" w:cs="楷体" w:hint="eastAsia"/>
          <w:bCs/>
          <w:sz w:val="32"/>
          <w:szCs w:val="32"/>
        </w:rPr>
        <w:t>一、收入支出决算总体情况说明</w:t>
      </w:r>
    </w:p>
    <w:p w:rsidR="004F38F0" w:rsidRDefault="00667234">
      <w:pPr>
        <w:ind w:firstLineChars="200" w:firstLine="640"/>
        <w:rPr>
          <w:rFonts w:ascii="仿宋" w:eastAsia="仿宋" w:hAnsi="仿宋"/>
          <w:sz w:val="32"/>
          <w:szCs w:val="32"/>
        </w:rPr>
      </w:pPr>
      <w:r>
        <w:rPr>
          <w:rFonts w:ascii="仿宋" w:eastAsia="仿宋" w:hAnsi="仿宋" w:cs="仿宋" w:hint="eastAsia"/>
          <w:sz w:val="32"/>
          <w:szCs w:val="32"/>
        </w:rPr>
        <w:t>重庆</w:t>
      </w:r>
      <w:r w:rsidR="009E4A05">
        <w:rPr>
          <w:rFonts w:ascii="仿宋" w:eastAsia="仿宋" w:hAnsi="仿宋" w:cs="仿宋" w:hint="eastAsia"/>
          <w:sz w:val="32"/>
          <w:szCs w:val="32"/>
        </w:rPr>
        <w:t>煤矿安全监察局2020年度</w:t>
      </w:r>
      <w:r w:rsidR="003A3F37">
        <w:rPr>
          <w:rFonts w:ascii="仿宋" w:eastAsia="仿宋" w:hAnsi="仿宋" w:cs="仿宋" w:hint="eastAsia"/>
          <w:sz w:val="32"/>
          <w:szCs w:val="32"/>
        </w:rPr>
        <w:t>决算</w:t>
      </w:r>
      <w:r w:rsidR="009E4A05">
        <w:rPr>
          <w:rFonts w:ascii="仿宋" w:eastAsia="仿宋" w:hAnsi="仿宋" w:cs="仿宋" w:hint="eastAsia"/>
          <w:sz w:val="32"/>
          <w:szCs w:val="32"/>
        </w:rPr>
        <w:t>收</w:t>
      </w:r>
      <w:r w:rsidR="00422B7B">
        <w:rPr>
          <w:rFonts w:ascii="仿宋" w:eastAsia="仿宋" w:hAnsi="仿宋" w:cs="仿宋" w:hint="eastAsia"/>
          <w:sz w:val="32"/>
          <w:szCs w:val="32"/>
        </w:rPr>
        <w:t>入</w:t>
      </w:r>
      <w:r w:rsidR="009E4A05">
        <w:rPr>
          <w:rFonts w:ascii="仿宋" w:eastAsia="仿宋" w:hAnsi="仿宋" w:cs="仿宋" w:hint="eastAsia"/>
          <w:sz w:val="32"/>
          <w:szCs w:val="32"/>
        </w:rPr>
        <w:t>总计</w:t>
      </w:r>
      <w:r w:rsidR="00195716">
        <w:rPr>
          <w:rFonts w:ascii="仿宋" w:eastAsia="仿宋" w:hAnsi="仿宋" w:cs="仿宋"/>
          <w:sz w:val="32"/>
          <w:szCs w:val="32"/>
        </w:rPr>
        <w:t>13</w:t>
      </w:r>
      <w:r w:rsidRPr="00667234">
        <w:rPr>
          <w:rFonts w:ascii="仿宋" w:eastAsia="仿宋" w:hAnsi="仿宋" w:cs="仿宋"/>
          <w:sz w:val="32"/>
          <w:szCs w:val="32"/>
        </w:rPr>
        <w:t>176.48</w:t>
      </w:r>
      <w:r w:rsidR="003A3F37">
        <w:rPr>
          <w:rFonts w:ascii="仿宋" w:eastAsia="仿宋" w:hAnsi="仿宋" w:cs="仿宋" w:hint="eastAsia"/>
          <w:sz w:val="32"/>
          <w:szCs w:val="32"/>
        </w:rPr>
        <w:t>万元，</w:t>
      </w:r>
      <w:r w:rsidR="003A3F37" w:rsidRPr="003A3F37">
        <w:rPr>
          <w:rFonts w:ascii="仿宋" w:eastAsia="仿宋" w:hAnsi="仿宋" w:cs="仿宋" w:hint="eastAsia"/>
          <w:sz w:val="32"/>
          <w:szCs w:val="32"/>
        </w:rPr>
        <w:t>比2019年减少</w:t>
      </w:r>
      <w:r w:rsidR="003A3F37">
        <w:rPr>
          <w:rFonts w:ascii="仿宋" w:eastAsia="仿宋" w:hAnsi="仿宋" w:cs="仿宋"/>
          <w:sz w:val="32"/>
          <w:szCs w:val="32"/>
        </w:rPr>
        <w:t>1986.14</w:t>
      </w:r>
      <w:r w:rsidR="003A3F37" w:rsidRPr="003A3F37">
        <w:rPr>
          <w:rFonts w:ascii="仿宋" w:eastAsia="仿宋" w:hAnsi="仿宋" w:cs="仿宋" w:hint="eastAsia"/>
          <w:sz w:val="32"/>
          <w:szCs w:val="32"/>
        </w:rPr>
        <w:t>万元</w:t>
      </w:r>
      <w:r w:rsidR="003A3F37">
        <w:rPr>
          <w:rFonts w:ascii="仿宋" w:eastAsia="仿宋" w:hAnsi="仿宋" w:cs="仿宋" w:hint="eastAsia"/>
          <w:sz w:val="32"/>
          <w:szCs w:val="32"/>
        </w:rPr>
        <w:t>，同比</w:t>
      </w:r>
      <w:r w:rsidR="009E4A05">
        <w:rPr>
          <w:rFonts w:ascii="仿宋" w:eastAsia="仿宋" w:hAnsi="仿宋" w:cs="仿宋" w:hint="eastAsia"/>
          <w:sz w:val="32"/>
          <w:szCs w:val="32"/>
        </w:rPr>
        <w:t>下降</w:t>
      </w:r>
      <w:r w:rsidR="003A3F37">
        <w:rPr>
          <w:rFonts w:ascii="仿宋" w:eastAsia="仿宋" w:hAnsi="仿宋" w:cs="仿宋"/>
          <w:sz w:val="32"/>
          <w:szCs w:val="32"/>
        </w:rPr>
        <w:t>13.1</w:t>
      </w:r>
      <w:r w:rsidR="009E4A05">
        <w:rPr>
          <w:rFonts w:ascii="仿宋" w:eastAsia="仿宋" w:hAnsi="仿宋" w:cs="仿宋" w:hint="eastAsia"/>
          <w:sz w:val="32"/>
          <w:szCs w:val="32"/>
        </w:rPr>
        <w:t>%。</w:t>
      </w:r>
      <w:r w:rsidR="003A3F37">
        <w:rPr>
          <w:rFonts w:ascii="仿宋_GB2312" w:eastAsia="仿宋_GB2312" w:hAnsi="仿宋" w:cs="仿宋" w:hint="eastAsia"/>
          <w:bCs/>
          <w:sz w:val="32"/>
          <w:szCs w:val="32"/>
        </w:rPr>
        <w:t>2020年度决算总支出</w:t>
      </w:r>
      <w:r w:rsidR="00195716">
        <w:rPr>
          <w:rFonts w:ascii="仿宋_GB2312" w:eastAsia="仿宋_GB2312" w:hAnsi="仿宋" w:cs="仿宋" w:hint="eastAsia"/>
          <w:bCs/>
          <w:sz w:val="32"/>
          <w:szCs w:val="32"/>
        </w:rPr>
        <w:t>9</w:t>
      </w:r>
      <w:r w:rsidR="003A3F37">
        <w:rPr>
          <w:rFonts w:ascii="仿宋_GB2312" w:eastAsia="仿宋_GB2312" w:hAnsi="仿宋" w:cs="仿宋" w:hint="eastAsia"/>
          <w:bCs/>
          <w:sz w:val="32"/>
          <w:szCs w:val="32"/>
        </w:rPr>
        <w:t>036.19万元，</w:t>
      </w:r>
      <w:r w:rsidR="003A3F37" w:rsidRPr="003A3F37">
        <w:rPr>
          <w:rFonts w:ascii="仿宋_GB2312" w:eastAsia="仿宋_GB2312" w:hAnsi="仿宋" w:cs="仿宋" w:hint="eastAsia"/>
          <w:bCs/>
          <w:sz w:val="32"/>
          <w:szCs w:val="32"/>
        </w:rPr>
        <w:t>比上年减少</w:t>
      </w:r>
      <w:r w:rsidR="00195716">
        <w:rPr>
          <w:rFonts w:ascii="仿宋_GB2312" w:eastAsia="仿宋_GB2312" w:hAnsi="仿宋" w:cs="仿宋" w:hint="eastAsia"/>
          <w:bCs/>
          <w:sz w:val="32"/>
          <w:szCs w:val="32"/>
        </w:rPr>
        <w:t>1</w:t>
      </w:r>
      <w:r w:rsidR="003A3F37" w:rsidRPr="003A3F37">
        <w:rPr>
          <w:rFonts w:ascii="仿宋_GB2312" w:eastAsia="仿宋_GB2312" w:hAnsi="仿宋" w:cs="仿宋" w:hint="eastAsia"/>
          <w:bCs/>
          <w:sz w:val="32"/>
          <w:szCs w:val="32"/>
        </w:rPr>
        <w:t>598.04万元，</w:t>
      </w:r>
      <w:r w:rsidR="003A3F37">
        <w:rPr>
          <w:rFonts w:ascii="仿宋" w:eastAsia="仿宋" w:hAnsi="仿宋" w:cs="仿宋" w:hint="eastAsia"/>
          <w:sz w:val="32"/>
          <w:szCs w:val="32"/>
        </w:rPr>
        <w:t>同比下降</w:t>
      </w:r>
      <w:r w:rsidR="003A3F37">
        <w:rPr>
          <w:rFonts w:ascii="仿宋" w:eastAsia="仿宋" w:hAnsi="仿宋" w:cs="仿宋"/>
          <w:sz w:val="32"/>
          <w:szCs w:val="32"/>
        </w:rPr>
        <w:t>1</w:t>
      </w:r>
      <w:r w:rsidR="00F41C22">
        <w:rPr>
          <w:rFonts w:ascii="仿宋" w:eastAsia="仿宋" w:hAnsi="仿宋" w:cs="仿宋"/>
          <w:sz w:val="32"/>
          <w:szCs w:val="32"/>
        </w:rPr>
        <w:t>5</w:t>
      </w:r>
      <w:r w:rsidR="003A3F37">
        <w:rPr>
          <w:rFonts w:ascii="仿宋" w:eastAsia="仿宋" w:hAnsi="仿宋" w:cs="仿宋"/>
          <w:sz w:val="32"/>
          <w:szCs w:val="32"/>
        </w:rPr>
        <w:t>.</w:t>
      </w:r>
      <w:r w:rsidR="00F41C22">
        <w:rPr>
          <w:rFonts w:ascii="仿宋" w:eastAsia="仿宋" w:hAnsi="仿宋" w:cs="仿宋"/>
          <w:sz w:val="32"/>
          <w:szCs w:val="32"/>
        </w:rPr>
        <w:t>06</w:t>
      </w:r>
      <w:r w:rsidR="003A3F37">
        <w:rPr>
          <w:rFonts w:ascii="仿宋" w:eastAsia="仿宋" w:hAnsi="仿宋" w:cs="仿宋" w:hint="eastAsia"/>
          <w:sz w:val="32"/>
          <w:szCs w:val="32"/>
        </w:rPr>
        <w:t>%。</w:t>
      </w:r>
      <w:r w:rsidR="009E4A05">
        <w:rPr>
          <w:rFonts w:ascii="仿宋" w:eastAsia="仿宋" w:hAnsi="仿宋" w:cs="仿宋" w:hint="eastAsia"/>
          <w:sz w:val="32"/>
          <w:szCs w:val="32"/>
        </w:rPr>
        <w:t>主要是坚决落实过紧日子要求，压缩了预算安排。</w:t>
      </w:r>
    </w:p>
    <w:p w:rsidR="004F38F0" w:rsidRDefault="009E4A05">
      <w:pPr>
        <w:ind w:firstLineChars="196" w:firstLine="627"/>
        <w:jc w:val="left"/>
        <w:rPr>
          <w:rFonts w:ascii="黑体" w:eastAsia="黑体" w:hAnsi="黑体" w:cs="仿宋"/>
          <w:bCs/>
          <w:sz w:val="32"/>
          <w:szCs w:val="32"/>
        </w:rPr>
      </w:pPr>
      <w:r>
        <w:rPr>
          <w:rFonts w:ascii="黑体" w:eastAsia="黑体" w:hAnsi="黑体" w:cs="楷体" w:hint="eastAsia"/>
          <w:bCs/>
          <w:sz w:val="32"/>
          <w:szCs w:val="32"/>
        </w:rPr>
        <w:t>二、收入决算情况说明</w:t>
      </w:r>
    </w:p>
    <w:p w:rsidR="004F38F0" w:rsidRDefault="00F41C22">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重庆</w:t>
      </w:r>
      <w:r w:rsidR="009E4A05">
        <w:rPr>
          <w:rFonts w:ascii="仿宋" w:eastAsia="仿宋" w:hAnsi="仿宋" w:cs="仿宋" w:hint="eastAsia"/>
          <w:sz w:val="32"/>
          <w:szCs w:val="32"/>
        </w:rPr>
        <w:t>煤矿安全监察局</w:t>
      </w:r>
      <w:r>
        <w:rPr>
          <w:rFonts w:ascii="仿宋_GB2312" w:eastAsia="仿宋_GB2312" w:hAnsi="仿宋" w:cs="仿宋" w:hint="eastAsia"/>
          <w:bCs/>
          <w:sz w:val="32"/>
          <w:szCs w:val="32"/>
        </w:rPr>
        <w:t>2020年度决算当年收入8845.58万元，其中财政拨款收入6276.93万元，占总收入的70.96%；事业收入561.87万元，占总收入的6.35%；其他收入2006.78万元，占总收入的22.69%。上年结转结余4</w:t>
      </w:r>
      <w:r>
        <w:rPr>
          <w:rFonts w:ascii="仿宋_GB2312" w:eastAsia="仿宋_GB2312" w:hAnsi="仿宋" w:cs="仿宋"/>
          <w:bCs/>
          <w:sz w:val="32"/>
          <w:szCs w:val="32"/>
        </w:rPr>
        <w:t>330.90</w:t>
      </w:r>
      <w:r>
        <w:rPr>
          <w:rFonts w:ascii="仿宋_GB2312" w:eastAsia="仿宋_GB2312" w:hAnsi="仿宋" w:cs="仿宋" w:hint="eastAsia"/>
          <w:bCs/>
          <w:sz w:val="32"/>
          <w:szCs w:val="32"/>
        </w:rPr>
        <w:t>万元。</w:t>
      </w:r>
    </w:p>
    <w:p w:rsidR="004F38F0" w:rsidRDefault="009E4A05">
      <w:pPr>
        <w:ind w:firstLineChars="196" w:firstLine="627"/>
        <w:jc w:val="left"/>
        <w:rPr>
          <w:rFonts w:ascii="黑体" w:eastAsia="黑体" w:hAnsi="黑体" w:cs="楷体"/>
          <w:bCs/>
          <w:sz w:val="32"/>
          <w:szCs w:val="32"/>
        </w:rPr>
      </w:pPr>
      <w:r>
        <w:rPr>
          <w:rFonts w:ascii="黑体" w:eastAsia="黑体" w:hAnsi="黑体" w:cs="楷体" w:hint="eastAsia"/>
          <w:bCs/>
          <w:sz w:val="32"/>
          <w:szCs w:val="32"/>
        </w:rPr>
        <w:t>三、支出决算情况说明</w:t>
      </w:r>
    </w:p>
    <w:p w:rsidR="004F38F0" w:rsidRDefault="00F41C22">
      <w:pPr>
        <w:spacing w:line="560" w:lineRule="exact"/>
        <w:ind w:firstLineChars="200" w:firstLine="640"/>
        <w:jc w:val="left"/>
      </w:pPr>
      <w:r>
        <w:rPr>
          <w:rFonts w:ascii="仿宋" w:eastAsia="仿宋" w:hAnsi="仿宋" w:cs="仿宋" w:hint="eastAsia"/>
          <w:sz w:val="32"/>
          <w:szCs w:val="32"/>
        </w:rPr>
        <w:t>重庆</w:t>
      </w:r>
      <w:r w:rsidR="009E4A05">
        <w:rPr>
          <w:rFonts w:ascii="仿宋" w:eastAsia="仿宋" w:hAnsi="仿宋" w:cs="仿宋" w:hint="eastAsia"/>
          <w:sz w:val="32"/>
          <w:szCs w:val="32"/>
        </w:rPr>
        <w:t>煤矿安全监察局本年</w:t>
      </w:r>
      <w:r w:rsidR="009E4A05">
        <w:rPr>
          <w:rFonts w:ascii="仿宋" w:eastAsia="仿宋" w:hAnsi="仿宋" w:cs="仿宋"/>
          <w:sz w:val="32"/>
          <w:szCs w:val="32"/>
        </w:rPr>
        <w:t>支出合计</w:t>
      </w:r>
      <w:r w:rsidR="00195716">
        <w:rPr>
          <w:rFonts w:ascii="仿宋" w:eastAsia="仿宋" w:hAnsi="仿宋" w:cs="仿宋"/>
          <w:sz w:val="32"/>
          <w:szCs w:val="32"/>
        </w:rPr>
        <w:t>9</w:t>
      </w:r>
      <w:r w:rsidR="00195716" w:rsidRPr="00195716">
        <w:rPr>
          <w:rFonts w:ascii="仿宋" w:eastAsia="仿宋" w:hAnsi="仿宋" w:cs="仿宋"/>
          <w:sz w:val="32"/>
          <w:szCs w:val="32"/>
        </w:rPr>
        <w:t>036.19</w:t>
      </w:r>
      <w:r w:rsidR="009E4A05">
        <w:rPr>
          <w:rFonts w:ascii="仿宋" w:eastAsia="仿宋" w:hAnsi="仿宋" w:cs="仿宋"/>
          <w:sz w:val="32"/>
          <w:szCs w:val="32"/>
        </w:rPr>
        <w:t>万元，其中：基本支出</w:t>
      </w:r>
      <w:r w:rsidR="00195716" w:rsidRPr="00195716">
        <w:rPr>
          <w:rFonts w:ascii="仿宋" w:eastAsia="仿宋" w:hAnsi="仿宋" w:cs="仿宋"/>
          <w:sz w:val="32"/>
          <w:szCs w:val="32"/>
        </w:rPr>
        <w:t>5730.07</w:t>
      </w:r>
      <w:r w:rsidR="009E4A05">
        <w:rPr>
          <w:rFonts w:ascii="仿宋" w:eastAsia="仿宋" w:hAnsi="仿宋" w:cs="仿宋"/>
          <w:sz w:val="32"/>
          <w:szCs w:val="32"/>
        </w:rPr>
        <w:t>万元，占</w:t>
      </w:r>
      <w:r w:rsidR="009E4A05">
        <w:rPr>
          <w:rFonts w:ascii="仿宋" w:eastAsia="仿宋" w:hAnsi="仿宋" w:cs="仿宋" w:hint="eastAsia"/>
          <w:sz w:val="32"/>
          <w:szCs w:val="32"/>
        </w:rPr>
        <w:t>6</w:t>
      </w:r>
      <w:r w:rsidR="00195716">
        <w:rPr>
          <w:rFonts w:ascii="仿宋" w:eastAsia="仿宋" w:hAnsi="仿宋" w:cs="仿宋"/>
          <w:sz w:val="32"/>
          <w:szCs w:val="32"/>
        </w:rPr>
        <w:t>3.41</w:t>
      </w:r>
      <w:r w:rsidR="009E4A05">
        <w:rPr>
          <w:rFonts w:ascii="仿宋" w:eastAsia="仿宋" w:hAnsi="仿宋" w:cs="仿宋"/>
          <w:sz w:val="32"/>
          <w:szCs w:val="32"/>
        </w:rPr>
        <w:t>%；项目支出</w:t>
      </w:r>
      <w:r w:rsidR="00195716" w:rsidRPr="00195716">
        <w:rPr>
          <w:rFonts w:ascii="仿宋" w:eastAsia="仿宋" w:hAnsi="仿宋" w:cs="仿宋"/>
          <w:sz w:val="32"/>
          <w:szCs w:val="32"/>
        </w:rPr>
        <w:t>3306.12</w:t>
      </w:r>
      <w:r w:rsidR="009E4A05">
        <w:rPr>
          <w:rFonts w:ascii="仿宋" w:eastAsia="仿宋" w:hAnsi="仿宋" w:cs="仿宋"/>
          <w:sz w:val="32"/>
          <w:szCs w:val="32"/>
        </w:rPr>
        <w:t>万元，占</w:t>
      </w:r>
      <w:r w:rsidR="00195716">
        <w:rPr>
          <w:rFonts w:ascii="仿宋" w:eastAsia="仿宋" w:hAnsi="仿宋" w:cs="仿宋"/>
          <w:sz w:val="32"/>
          <w:szCs w:val="32"/>
        </w:rPr>
        <w:t>36.59</w:t>
      </w:r>
      <w:r w:rsidR="009E4A05">
        <w:rPr>
          <w:rFonts w:ascii="仿宋" w:eastAsia="仿宋" w:hAnsi="仿宋" w:cs="仿宋"/>
          <w:sz w:val="32"/>
          <w:szCs w:val="32"/>
        </w:rPr>
        <w:t>%。</w:t>
      </w:r>
    </w:p>
    <w:p w:rsidR="004F38F0" w:rsidRDefault="00DA6D27">
      <w:pPr>
        <w:spacing w:line="560" w:lineRule="exact"/>
        <w:ind w:firstLineChars="200" w:firstLine="640"/>
        <w:jc w:val="left"/>
        <w:rPr>
          <w:rFonts w:ascii="黑体" w:eastAsia="黑体" w:hAnsi="黑体" w:cs="楷体"/>
          <w:bCs/>
          <w:sz w:val="32"/>
          <w:szCs w:val="32"/>
        </w:rPr>
      </w:pPr>
      <w:r>
        <w:rPr>
          <w:rFonts w:ascii="黑体" w:eastAsia="黑体" w:hAnsi="黑体" w:cs="楷体" w:hint="eastAsia"/>
          <w:bCs/>
          <w:sz w:val="32"/>
          <w:szCs w:val="32"/>
        </w:rPr>
        <w:t>四、财政拨款收入</w:t>
      </w:r>
      <w:r w:rsidR="009E4A05">
        <w:rPr>
          <w:rFonts w:ascii="黑体" w:eastAsia="黑体" w:hAnsi="黑体" w:cs="楷体" w:hint="eastAsia"/>
          <w:bCs/>
          <w:sz w:val="32"/>
          <w:szCs w:val="32"/>
        </w:rPr>
        <w:t>决算总体情况说明</w:t>
      </w:r>
    </w:p>
    <w:p w:rsidR="00195716" w:rsidRDefault="00195716" w:rsidP="00195716">
      <w:pPr>
        <w:ind w:firstLineChars="200" w:firstLine="640"/>
        <w:rPr>
          <w:rFonts w:ascii="仿宋" w:eastAsia="仿宋" w:hAnsi="仿宋"/>
          <w:sz w:val="32"/>
          <w:szCs w:val="32"/>
        </w:rPr>
      </w:pPr>
      <w:r>
        <w:rPr>
          <w:rFonts w:ascii="仿宋" w:eastAsia="仿宋" w:hAnsi="仿宋" w:cs="仿宋" w:hint="eastAsia"/>
          <w:sz w:val="32"/>
          <w:szCs w:val="32"/>
        </w:rPr>
        <w:t>重庆煤矿安全监察局2020年度决算财政拨款收入总计</w:t>
      </w:r>
      <w:r>
        <w:rPr>
          <w:rFonts w:ascii="仿宋" w:eastAsia="仿宋" w:hAnsi="仿宋" w:cs="仿宋"/>
          <w:sz w:val="32"/>
          <w:szCs w:val="32"/>
        </w:rPr>
        <w:t>6</w:t>
      </w:r>
      <w:r w:rsidRPr="00195716">
        <w:rPr>
          <w:rFonts w:ascii="仿宋" w:eastAsia="仿宋" w:hAnsi="仿宋" w:cs="仿宋"/>
          <w:sz w:val="32"/>
          <w:szCs w:val="32"/>
        </w:rPr>
        <w:t>276.93</w:t>
      </w:r>
      <w:r>
        <w:rPr>
          <w:rFonts w:ascii="仿宋" w:eastAsia="仿宋" w:hAnsi="仿宋" w:cs="仿宋" w:hint="eastAsia"/>
          <w:sz w:val="32"/>
          <w:szCs w:val="32"/>
        </w:rPr>
        <w:t>万元，</w:t>
      </w:r>
      <w:r w:rsidRPr="003A3F37">
        <w:rPr>
          <w:rFonts w:ascii="仿宋" w:eastAsia="仿宋" w:hAnsi="仿宋" w:cs="仿宋" w:hint="eastAsia"/>
          <w:sz w:val="32"/>
          <w:szCs w:val="32"/>
        </w:rPr>
        <w:t>比2019年减少</w:t>
      </w:r>
      <w:r w:rsidR="00582804">
        <w:rPr>
          <w:rFonts w:ascii="仿宋" w:eastAsia="仿宋" w:hAnsi="仿宋" w:cs="仿宋"/>
          <w:sz w:val="32"/>
          <w:szCs w:val="32"/>
        </w:rPr>
        <w:t>77.87</w:t>
      </w:r>
      <w:r w:rsidRPr="003A3F37">
        <w:rPr>
          <w:rFonts w:ascii="仿宋" w:eastAsia="仿宋" w:hAnsi="仿宋" w:cs="仿宋" w:hint="eastAsia"/>
          <w:sz w:val="32"/>
          <w:szCs w:val="32"/>
        </w:rPr>
        <w:t>万元</w:t>
      </w:r>
      <w:r>
        <w:rPr>
          <w:rFonts w:ascii="仿宋" w:eastAsia="仿宋" w:hAnsi="仿宋" w:cs="仿宋" w:hint="eastAsia"/>
          <w:sz w:val="32"/>
          <w:szCs w:val="32"/>
        </w:rPr>
        <w:t>，同比下降</w:t>
      </w:r>
      <w:r w:rsidR="00582804">
        <w:rPr>
          <w:rFonts w:ascii="仿宋" w:eastAsia="仿宋" w:hAnsi="仿宋" w:cs="仿宋"/>
          <w:sz w:val="32"/>
          <w:szCs w:val="32"/>
        </w:rPr>
        <w:t>1.24</w:t>
      </w:r>
      <w:r>
        <w:rPr>
          <w:rFonts w:ascii="仿宋" w:eastAsia="仿宋" w:hAnsi="仿宋" w:cs="仿宋" w:hint="eastAsia"/>
          <w:sz w:val="32"/>
          <w:szCs w:val="32"/>
        </w:rPr>
        <w:t>%。</w:t>
      </w:r>
    </w:p>
    <w:p w:rsidR="004F38F0" w:rsidRDefault="009E4A05">
      <w:pPr>
        <w:spacing w:line="560" w:lineRule="exact"/>
        <w:ind w:firstLineChars="200" w:firstLine="640"/>
        <w:jc w:val="left"/>
        <w:rPr>
          <w:rFonts w:ascii="黑体" w:eastAsia="黑体" w:hAnsi="黑体" w:cs="楷体"/>
          <w:bCs/>
          <w:sz w:val="32"/>
          <w:szCs w:val="32"/>
        </w:rPr>
      </w:pPr>
      <w:r>
        <w:rPr>
          <w:rFonts w:ascii="黑体" w:eastAsia="黑体" w:hAnsi="黑体" w:cs="楷体" w:hint="eastAsia"/>
          <w:bCs/>
          <w:sz w:val="32"/>
          <w:szCs w:val="32"/>
        </w:rPr>
        <w:t>五、一般公共预算财政拨款支出决算情况说明</w:t>
      </w:r>
    </w:p>
    <w:p w:rsidR="004F38F0" w:rsidRDefault="009E4A05">
      <w:pPr>
        <w:spacing w:line="560" w:lineRule="exact"/>
        <w:ind w:firstLineChars="200" w:firstLine="643"/>
        <w:jc w:val="left"/>
        <w:rPr>
          <w:rFonts w:ascii="楷体" w:eastAsia="楷体" w:hAnsi="楷体" w:cs="仿宋"/>
          <w:b/>
          <w:bCs/>
          <w:sz w:val="32"/>
          <w:szCs w:val="32"/>
        </w:rPr>
      </w:pPr>
      <w:r>
        <w:rPr>
          <w:rFonts w:ascii="楷体" w:eastAsia="楷体" w:hAnsi="楷体" w:cs="仿宋" w:hint="eastAsia"/>
          <w:b/>
          <w:bCs/>
          <w:sz w:val="32"/>
          <w:szCs w:val="32"/>
        </w:rPr>
        <w:t>（一）财政拨款支出决算总体情况</w:t>
      </w:r>
    </w:p>
    <w:p w:rsidR="00DA6D27" w:rsidRDefault="00DA6D27" w:rsidP="00DA6D27">
      <w:pPr>
        <w:ind w:firstLineChars="200" w:firstLine="640"/>
        <w:rPr>
          <w:rFonts w:ascii="仿宋" w:eastAsia="仿宋" w:hAnsi="仿宋"/>
          <w:sz w:val="32"/>
          <w:szCs w:val="32"/>
        </w:rPr>
      </w:pPr>
      <w:r>
        <w:rPr>
          <w:rFonts w:ascii="仿宋_GB2312" w:eastAsia="仿宋_GB2312" w:hAnsi="仿宋" w:cs="仿宋" w:hint="eastAsia"/>
          <w:bCs/>
          <w:sz w:val="32"/>
          <w:szCs w:val="32"/>
        </w:rPr>
        <w:t>2020年度决算财政拨款支出</w:t>
      </w:r>
      <w:r>
        <w:rPr>
          <w:rFonts w:ascii="仿宋_GB2312" w:eastAsia="仿宋_GB2312" w:hAnsi="仿宋" w:cs="仿宋"/>
          <w:bCs/>
          <w:sz w:val="32"/>
          <w:szCs w:val="32"/>
        </w:rPr>
        <w:t>6</w:t>
      </w:r>
      <w:r w:rsidRPr="00582804">
        <w:rPr>
          <w:rFonts w:ascii="仿宋_GB2312" w:eastAsia="仿宋_GB2312" w:hAnsi="仿宋" w:cs="仿宋"/>
          <w:bCs/>
          <w:sz w:val="32"/>
          <w:szCs w:val="32"/>
        </w:rPr>
        <w:t>643.11</w:t>
      </w:r>
      <w:r>
        <w:rPr>
          <w:rFonts w:ascii="仿宋_GB2312" w:eastAsia="仿宋_GB2312" w:hAnsi="仿宋" w:cs="仿宋" w:hint="eastAsia"/>
          <w:bCs/>
          <w:sz w:val="32"/>
          <w:szCs w:val="32"/>
        </w:rPr>
        <w:t>万元，</w:t>
      </w:r>
      <w:r w:rsidRPr="003A3F37">
        <w:rPr>
          <w:rFonts w:ascii="仿宋_GB2312" w:eastAsia="仿宋_GB2312" w:hAnsi="仿宋" w:cs="仿宋" w:hint="eastAsia"/>
          <w:bCs/>
          <w:sz w:val="32"/>
          <w:szCs w:val="32"/>
        </w:rPr>
        <w:t>比上年</w:t>
      </w:r>
      <w:r>
        <w:rPr>
          <w:rFonts w:ascii="仿宋_GB2312" w:eastAsia="仿宋_GB2312" w:hAnsi="仿宋" w:cs="仿宋" w:hint="eastAsia"/>
          <w:bCs/>
          <w:sz w:val="32"/>
          <w:szCs w:val="32"/>
        </w:rPr>
        <w:t>增加</w:t>
      </w:r>
      <w:r>
        <w:rPr>
          <w:rFonts w:ascii="仿宋_GB2312" w:eastAsia="仿宋_GB2312" w:hAnsi="仿宋" w:cs="仿宋"/>
          <w:bCs/>
          <w:sz w:val="32"/>
          <w:szCs w:val="32"/>
        </w:rPr>
        <w:t>366.18</w:t>
      </w:r>
      <w:r w:rsidRPr="003A3F37">
        <w:rPr>
          <w:rFonts w:ascii="仿宋_GB2312" w:eastAsia="仿宋_GB2312" w:hAnsi="仿宋" w:cs="仿宋" w:hint="eastAsia"/>
          <w:bCs/>
          <w:sz w:val="32"/>
          <w:szCs w:val="32"/>
        </w:rPr>
        <w:t>万元，</w:t>
      </w:r>
      <w:r>
        <w:rPr>
          <w:rFonts w:ascii="仿宋" w:eastAsia="仿宋" w:hAnsi="仿宋" w:cs="仿宋" w:hint="eastAsia"/>
          <w:sz w:val="32"/>
          <w:szCs w:val="32"/>
        </w:rPr>
        <w:t>同比上升</w:t>
      </w:r>
      <w:r>
        <w:rPr>
          <w:rFonts w:ascii="仿宋" w:eastAsia="仿宋" w:hAnsi="仿宋" w:cs="仿宋"/>
          <w:sz w:val="32"/>
          <w:szCs w:val="32"/>
        </w:rPr>
        <w:t>5.51</w:t>
      </w:r>
      <w:r>
        <w:rPr>
          <w:rFonts w:ascii="仿宋" w:eastAsia="仿宋" w:hAnsi="仿宋" w:cs="仿宋" w:hint="eastAsia"/>
          <w:sz w:val="32"/>
          <w:szCs w:val="32"/>
        </w:rPr>
        <w:t>%。主要是使用基建项目上年结转资金</w:t>
      </w:r>
      <w:r>
        <w:rPr>
          <w:rFonts w:ascii="仿宋" w:eastAsia="仿宋" w:hAnsi="仿宋" w:cs="仿宋"/>
          <w:sz w:val="32"/>
          <w:szCs w:val="32"/>
        </w:rPr>
        <w:t>444.05</w:t>
      </w:r>
      <w:r>
        <w:rPr>
          <w:rFonts w:ascii="仿宋" w:eastAsia="仿宋" w:hAnsi="仿宋" w:cs="仿宋" w:hint="eastAsia"/>
          <w:sz w:val="32"/>
          <w:szCs w:val="32"/>
        </w:rPr>
        <w:t>万元。</w:t>
      </w:r>
    </w:p>
    <w:p w:rsidR="004F38F0" w:rsidRDefault="009E4A05">
      <w:pPr>
        <w:spacing w:line="560" w:lineRule="exact"/>
        <w:ind w:firstLineChars="200" w:firstLine="643"/>
        <w:jc w:val="left"/>
        <w:rPr>
          <w:rFonts w:ascii="楷体" w:eastAsia="楷体" w:hAnsi="楷体" w:cs="仿宋"/>
          <w:b/>
          <w:bCs/>
          <w:sz w:val="32"/>
          <w:szCs w:val="32"/>
        </w:rPr>
      </w:pPr>
      <w:r>
        <w:rPr>
          <w:rFonts w:ascii="楷体" w:eastAsia="楷体" w:hAnsi="楷体" w:cs="仿宋" w:hint="eastAsia"/>
          <w:b/>
          <w:bCs/>
          <w:sz w:val="32"/>
          <w:szCs w:val="32"/>
        </w:rPr>
        <w:lastRenderedPageBreak/>
        <w:t>（二）财政拨款支出决算结构情况。</w:t>
      </w:r>
    </w:p>
    <w:p w:rsidR="00DA6D27" w:rsidRDefault="009E4A05">
      <w:pPr>
        <w:autoSpaceDE w:val="0"/>
        <w:autoSpaceDN w:val="0"/>
        <w:adjustRightInd w:val="0"/>
        <w:ind w:firstLineChars="200" w:firstLine="640"/>
        <w:jc w:val="left"/>
        <w:rPr>
          <w:rFonts w:ascii="仿宋_GB2312" w:eastAsia="仿宋_GB2312" w:hAnsi="Times New Roman" w:cs="仿宋_GB2312"/>
          <w:kern w:val="0"/>
          <w:sz w:val="32"/>
          <w:szCs w:val="32"/>
        </w:rPr>
      </w:pPr>
      <w:r>
        <w:rPr>
          <w:rFonts w:ascii="仿宋" w:eastAsia="仿宋" w:hAnsi="仿宋" w:hint="eastAsia"/>
          <w:sz w:val="32"/>
          <w:szCs w:val="32"/>
        </w:rPr>
        <w:t>2020年度</w:t>
      </w:r>
      <w:r w:rsidR="00DA6D27">
        <w:rPr>
          <w:rFonts w:ascii="仿宋_GB2312" w:eastAsia="仿宋_GB2312" w:hAnsi="仿宋" w:cs="仿宋" w:hint="eastAsia"/>
          <w:bCs/>
          <w:sz w:val="32"/>
          <w:szCs w:val="32"/>
        </w:rPr>
        <w:t>财政拨款总支出6,643.11万元，其中人员经费支出3775.03万元，占财政拨款支出总额的56.83%，细化支出的规模占人员经费比例较大的有基本工资占比16.95%、津补贴占比16.3%、住房公积金6.55%、退休费占比26.43%；公用经费拨款694.01万元，占财政拨款支出总额的10.45%，细化支出的规模占财政拨款总支出较大的有差旅费占比2.61%、工会经费占比2%、福利费占比3.09%、其他交通费用2.86%；项目支出2868.08万元，占财政拨款支出总额的43.17%，其中非基建项目支出616.9万元，占项目支出总额的21.51%。</w:t>
      </w:r>
    </w:p>
    <w:p w:rsidR="004F38F0" w:rsidRDefault="009E4A05">
      <w:pPr>
        <w:spacing w:line="560" w:lineRule="exact"/>
        <w:ind w:firstLineChars="200" w:firstLine="640"/>
        <w:jc w:val="left"/>
        <w:rPr>
          <w:rFonts w:ascii="黑体" w:eastAsia="黑体" w:hAnsi="黑体" w:cs="楷体"/>
          <w:bCs/>
          <w:sz w:val="32"/>
          <w:szCs w:val="32"/>
        </w:rPr>
      </w:pPr>
      <w:r>
        <w:rPr>
          <w:rFonts w:ascii="黑体" w:eastAsia="黑体" w:hAnsi="黑体" w:cs="楷体" w:hint="eastAsia"/>
          <w:bCs/>
          <w:sz w:val="32"/>
          <w:szCs w:val="32"/>
        </w:rPr>
        <w:t>六、一般公共预算财政拨款基本支出决算情况说明</w:t>
      </w:r>
    </w:p>
    <w:p w:rsidR="004F38F0" w:rsidRDefault="009E4A05">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20</w:t>
      </w:r>
      <w:r>
        <w:rPr>
          <w:rFonts w:ascii="仿宋_GB2312" w:eastAsia="仿宋_GB2312" w:hAnsi="Times New Roman" w:cs="仿宋_GB2312" w:hint="eastAsia"/>
          <w:kern w:val="0"/>
          <w:sz w:val="32"/>
          <w:szCs w:val="32"/>
        </w:rPr>
        <w:t>20年度基本支出</w:t>
      </w:r>
      <w:r w:rsidR="008C672B">
        <w:rPr>
          <w:rFonts w:ascii="仿宋_GB2312" w:eastAsia="仿宋_GB2312" w:hAnsi="Times New Roman" w:cs="仿宋_GB2312"/>
          <w:kern w:val="0"/>
          <w:sz w:val="32"/>
          <w:szCs w:val="32"/>
        </w:rPr>
        <w:t>3</w:t>
      </w:r>
      <w:r w:rsidR="008C672B" w:rsidRPr="008C672B">
        <w:rPr>
          <w:rFonts w:ascii="仿宋_GB2312" w:eastAsia="仿宋_GB2312" w:hAnsi="Times New Roman" w:cs="仿宋_GB2312"/>
          <w:kern w:val="0"/>
          <w:sz w:val="32"/>
          <w:szCs w:val="32"/>
        </w:rPr>
        <w:t>775.03</w:t>
      </w:r>
      <w:r>
        <w:rPr>
          <w:rFonts w:ascii="仿宋_GB2312" w:eastAsia="仿宋_GB2312" w:hAnsi="Times New Roman" w:cs="仿宋_GB2312" w:hint="eastAsia"/>
          <w:kern w:val="0"/>
          <w:sz w:val="32"/>
          <w:szCs w:val="32"/>
        </w:rPr>
        <w:t>万元，其中：人员经费</w:t>
      </w:r>
      <w:r w:rsidR="008C672B">
        <w:rPr>
          <w:rFonts w:ascii="仿宋_GB2312" w:eastAsia="仿宋_GB2312" w:hAnsi="Times New Roman" w:cs="仿宋_GB2312"/>
          <w:kern w:val="0"/>
          <w:sz w:val="32"/>
          <w:szCs w:val="32"/>
        </w:rPr>
        <w:t>3</w:t>
      </w:r>
      <w:r w:rsidR="008C672B" w:rsidRPr="008C672B">
        <w:rPr>
          <w:rFonts w:ascii="仿宋_GB2312" w:eastAsia="仿宋_GB2312" w:hAnsi="Times New Roman" w:cs="仿宋_GB2312"/>
          <w:kern w:val="0"/>
          <w:sz w:val="32"/>
          <w:szCs w:val="32"/>
        </w:rPr>
        <w:t>081.02</w:t>
      </w:r>
      <w:r>
        <w:rPr>
          <w:rFonts w:ascii="仿宋_GB2312" w:eastAsia="仿宋_GB2312" w:hAnsi="Times New Roman" w:cs="仿宋_GB2312" w:hint="eastAsia"/>
          <w:kern w:val="0"/>
          <w:sz w:val="32"/>
          <w:szCs w:val="32"/>
        </w:rPr>
        <w:t>万元，主要包括：基本工资、津贴补贴、奖金、职工基本医疗保险缴费、公务员医疗补助缴费、其他社会保障缴费、住房公积金、其他工资福利支出、退休费、其他对个人和家庭的补助支出；公用经费</w:t>
      </w:r>
      <w:r w:rsidR="008C672B" w:rsidRPr="008C672B">
        <w:rPr>
          <w:rFonts w:ascii="仿宋_GB2312" w:eastAsia="仿宋_GB2312" w:hAnsi="Times New Roman" w:cs="仿宋_GB2312"/>
          <w:kern w:val="0"/>
          <w:sz w:val="32"/>
          <w:szCs w:val="32"/>
        </w:rPr>
        <w:t>694.01</w:t>
      </w:r>
      <w:r>
        <w:rPr>
          <w:rFonts w:ascii="仿宋_GB2312" w:eastAsia="仿宋_GB2312" w:hAnsi="Times New Roman" w:cs="仿宋_GB2312" w:hint="eastAsia"/>
          <w:kern w:val="0"/>
          <w:sz w:val="32"/>
          <w:szCs w:val="32"/>
        </w:rPr>
        <w:t>万元，主要包括：办公费、水费、电费、邮电费、物业管理费、差旅费、因公出国（境）费用、维修（护）费、租赁费、培训费、公务接待费、劳务费、工会经费、福利费、公务用车运行维护费、其他交通费用、其他商品和服务支出、办公设备购置。</w:t>
      </w:r>
    </w:p>
    <w:p w:rsidR="004F38F0" w:rsidRDefault="009E4A05">
      <w:pPr>
        <w:spacing w:line="560" w:lineRule="exact"/>
        <w:ind w:firstLineChars="200" w:firstLine="640"/>
        <w:jc w:val="left"/>
        <w:rPr>
          <w:rFonts w:ascii="黑体" w:eastAsia="黑体" w:hAnsi="黑体" w:cs="楷体"/>
          <w:bCs/>
          <w:sz w:val="32"/>
          <w:szCs w:val="32"/>
        </w:rPr>
      </w:pPr>
      <w:r>
        <w:rPr>
          <w:rFonts w:ascii="黑体" w:eastAsia="黑体" w:hAnsi="黑体" w:cs="楷体" w:hint="eastAsia"/>
          <w:bCs/>
          <w:sz w:val="32"/>
          <w:szCs w:val="32"/>
        </w:rPr>
        <w:t>七、一般公共预算财政拨款“三公”经费支出决算情况说明</w:t>
      </w:r>
    </w:p>
    <w:p w:rsidR="004F38F0" w:rsidRDefault="009E4A05">
      <w:pPr>
        <w:autoSpaceDE w:val="0"/>
        <w:autoSpaceDN w:val="0"/>
        <w:adjustRightInd w:val="0"/>
        <w:spacing w:line="560" w:lineRule="exact"/>
        <w:ind w:firstLineChars="200" w:firstLine="643"/>
        <w:jc w:val="left"/>
        <w:rPr>
          <w:rFonts w:ascii="楷体_GB2312" w:eastAsia="楷体_GB2312" w:hAnsi="Times New Roman" w:cs="楷体_GB2312"/>
          <w:b/>
          <w:kern w:val="0"/>
          <w:sz w:val="32"/>
          <w:szCs w:val="32"/>
        </w:rPr>
      </w:pPr>
      <w:r>
        <w:rPr>
          <w:rFonts w:ascii="楷体_GB2312" w:eastAsia="楷体_GB2312" w:hAnsi="Times New Roman" w:cs="楷体_GB2312" w:hint="eastAsia"/>
          <w:b/>
          <w:kern w:val="0"/>
          <w:sz w:val="32"/>
          <w:szCs w:val="32"/>
        </w:rPr>
        <w:t>（一）“三公”经费财政拨款支出决算总体情况说明。</w:t>
      </w:r>
    </w:p>
    <w:p w:rsidR="004F38F0" w:rsidRDefault="009E4A05">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lastRenderedPageBreak/>
        <w:t>20</w:t>
      </w:r>
      <w:r>
        <w:rPr>
          <w:rFonts w:ascii="仿宋_GB2312" w:eastAsia="仿宋_GB2312" w:hAnsi="Times New Roman" w:cs="仿宋_GB2312" w:hint="eastAsia"/>
          <w:kern w:val="0"/>
          <w:sz w:val="32"/>
          <w:szCs w:val="32"/>
        </w:rPr>
        <w:t>20</w:t>
      </w:r>
      <w:r>
        <w:rPr>
          <w:rFonts w:ascii="仿宋_GB2312" w:eastAsia="仿宋_GB2312" w:hAnsi="Times New Roman" w:cs="仿宋_GB2312"/>
          <w:kern w:val="0"/>
          <w:sz w:val="32"/>
          <w:szCs w:val="32"/>
        </w:rPr>
        <w:t xml:space="preserve"> </w:t>
      </w:r>
      <w:r>
        <w:rPr>
          <w:rFonts w:ascii="仿宋_GB2312" w:eastAsia="仿宋_GB2312" w:hAnsi="Times New Roman" w:cs="仿宋_GB2312" w:hint="eastAsia"/>
          <w:kern w:val="0"/>
          <w:sz w:val="32"/>
          <w:szCs w:val="32"/>
        </w:rPr>
        <w:t>年度“三公”经费财政拨款支出预算</w:t>
      </w:r>
      <w:r w:rsidR="008C672B" w:rsidRPr="008C672B">
        <w:rPr>
          <w:rFonts w:ascii="仿宋_GB2312" w:eastAsia="仿宋_GB2312" w:hAnsi="Times New Roman" w:cs="仿宋_GB2312"/>
          <w:kern w:val="0"/>
          <w:sz w:val="32"/>
          <w:szCs w:val="32"/>
        </w:rPr>
        <w:t>167.19</w:t>
      </w:r>
      <w:r>
        <w:rPr>
          <w:rFonts w:ascii="仿宋_GB2312" w:eastAsia="仿宋_GB2312" w:hAnsi="Times New Roman" w:cs="仿宋_GB2312" w:hint="eastAsia"/>
          <w:kern w:val="0"/>
          <w:sz w:val="32"/>
          <w:szCs w:val="32"/>
        </w:rPr>
        <w:t>万元，支出决算为</w:t>
      </w:r>
      <w:r w:rsidR="00A67766" w:rsidRPr="00A67766">
        <w:rPr>
          <w:rFonts w:ascii="仿宋_GB2312" w:eastAsia="仿宋_GB2312" w:hAnsi="Times New Roman" w:cs="仿宋_GB2312"/>
          <w:kern w:val="0"/>
          <w:sz w:val="32"/>
          <w:szCs w:val="32"/>
        </w:rPr>
        <w:t>154.17</w:t>
      </w:r>
      <w:r>
        <w:rPr>
          <w:rFonts w:ascii="仿宋_GB2312" w:eastAsia="仿宋_GB2312" w:hAnsi="Times New Roman" w:cs="仿宋_GB2312" w:hint="eastAsia"/>
          <w:kern w:val="0"/>
          <w:sz w:val="32"/>
          <w:szCs w:val="32"/>
        </w:rPr>
        <w:t>万元，完成预算的</w:t>
      </w:r>
      <w:r w:rsidR="00A67766">
        <w:rPr>
          <w:rFonts w:ascii="仿宋_GB2312" w:eastAsia="仿宋_GB2312" w:hAnsi="Times New Roman" w:cs="仿宋_GB2312"/>
          <w:kern w:val="0"/>
          <w:sz w:val="32"/>
          <w:szCs w:val="32"/>
        </w:rPr>
        <w:t>92.21</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。决算数小于预算数的主要原因：一是受疫情影响</w:t>
      </w:r>
      <w:r w:rsidR="00336A50">
        <w:rPr>
          <w:rFonts w:ascii="仿宋_GB2312" w:eastAsia="仿宋_GB2312" w:hAnsi="Times New Roman" w:cs="仿宋_GB2312" w:hint="eastAsia"/>
          <w:kern w:val="0"/>
          <w:sz w:val="32"/>
          <w:szCs w:val="32"/>
        </w:rPr>
        <w:t>，因公出国（境）未能按计划开展；二是认真贯彻落实中央八项规定</w:t>
      </w:r>
      <w:r>
        <w:rPr>
          <w:rFonts w:ascii="仿宋_GB2312" w:eastAsia="仿宋_GB2312" w:hAnsi="Times New Roman" w:cs="仿宋_GB2312" w:hint="eastAsia"/>
          <w:kern w:val="0"/>
          <w:sz w:val="32"/>
          <w:szCs w:val="32"/>
        </w:rPr>
        <w:t>精神和厉行节约要求，从严控制“三公”经费开支，全年实际支出比预算有所节约</w:t>
      </w:r>
      <w:r>
        <w:rPr>
          <w:rFonts w:ascii="宋体" w:eastAsia="宋体" w:hAnsi="Times New Roman" w:cs="宋体" w:hint="eastAsia"/>
          <w:kern w:val="0"/>
          <w:szCs w:val="21"/>
        </w:rPr>
        <w:t>。</w:t>
      </w:r>
    </w:p>
    <w:p w:rsidR="004F38F0" w:rsidRDefault="009E4A05">
      <w:pPr>
        <w:autoSpaceDE w:val="0"/>
        <w:autoSpaceDN w:val="0"/>
        <w:adjustRightInd w:val="0"/>
        <w:spacing w:line="560" w:lineRule="exact"/>
        <w:ind w:firstLineChars="200" w:firstLine="643"/>
        <w:jc w:val="left"/>
        <w:rPr>
          <w:rFonts w:ascii="楷体_GB2312" w:eastAsia="楷体_GB2312" w:hAnsi="Times New Roman" w:cs="楷体_GB2312"/>
          <w:b/>
          <w:kern w:val="0"/>
          <w:sz w:val="32"/>
          <w:szCs w:val="32"/>
        </w:rPr>
      </w:pPr>
      <w:r>
        <w:rPr>
          <w:rFonts w:ascii="楷体_GB2312" w:eastAsia="楷体_GB2312" w:hAnsi="Times New Roman" w:cs="楷体_GB2312" w:hint="eastAsia"/>
          <w:b/>
          <w:kern w:val="0"/>
          <w:sz w:val="32"/>
          <w:szCs w:val="32"/>
        </w:rPr>
        <w:t>（二）“三公”经费财政拨款支出决算具体情况说明。</w:t>
      </w:r>
    </w:p>
    <w:p w:rsidR="004F38F0" w:rsidRDefault="009E4A05">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20</w:t>
      </w:r>
      <w:r>
        <w:rPr>
          <w:rFonts w:ascii="仿宋_GB2312" w:eastAsia="仿宋_GB2312" w:hAnsi="Times New Roman" w:cs="仿宋_GB2312" w:hint="eastAsia"/>
          <w:kern w:val="0"/>
          <w:sz w:val="32"/>
          <w:szCs w:val="32"/>
        </w:rPr>
        <w:t>20</w:t>
      </w:r>
      <w:r>
        <w:rPr>
          <w:rFonts w:ascii="仿宋_GB2312" w:eastAsia="仿宋_GB2312" w:hAnsi="Times New Roman" w:cs="仿宋_GB2312"/>
          <w:kern w:val="0"/>
          <w:sz w:val="32"/>
          <w:szCs w:val="32"/>
        </w:rPr>
        <w:t xml:space="preserve"> </w:t>
      </w:r>
      <w:r>
        <w:rPr>
          <w:rFonts w:ascii="仿宋_GB2312" w:eastAsia="仿宋_GB2312" w:hAnsi="Times New Roman" w:cs="仿宋_GB2312" w:hint="eastAsia"/>
          <w:kern w:val="0"/>
          <w:sz w:val="32"/>
          <w:szCs w:val="32"/>
        </w:rPr>
        <w:t>年度“三公”经费财政拨款支出决算中，因公出国（境费支出0万元，没有发生因公出国（境）费；公务用车购置及运行费支出</w:t>
      </w:r>
      <w:r w:rsidR="00A67766" w:rsidRPr="00A67766">
        <w:rPr>
          <w:rFonts w:ascii="仿宋_GB2312" w:eastAsia="仿宋_GB2312" w:hAnsi="Times New Roman" w:cs="仿宋_GB2312"/>
          <w:kern w:val="0"/>
          <w:sz w:val="32"/>
          <w:szCs w:val="32"/>
        </w:rPr>
        <w:t>140.47</w:t>
      </w:r>
      <w:r>
        <w:rPr>
          <w:rFonts w:ascii="仿宋_GB2312" w:eastAsia="仿宋_GB2312" w:hAnsi="Times New Roman" w:cs="仿宋_GB2312" w:hint="eastAsia"/>
          <w:kern w:val="0"/>
          <w:sz w:val="32"/>
          <w:szCs w:val="32"/>
        </w:rPr>
        <w:t>万元，占</w:t>
      </w:r>
      <w:r w:rsidR="00A67766">
        <w:rPr>
          <w:rFonts w:ascii="仿宋_GB2312" w:eastAsia="仿宋_GB2312" w:hAnsi="Times New Roman" w:cs="仿宋_GB2312" w:hint="eastAsia"/>
          <w:kern w:val="0"/>
          <w:sz w:val="32"/>
          <w:szCs w:val="32"/>
        </w:rPr>
        <w:t>9</w:t>
      </w:r>
      <w:r w:rsidR="00A67766">
        <w:rPr>
          <w:rFonts w:ascii="仿宋_GB2312" w:eastAsia="仿宋_GB2312" w:hAnsi="Times New Roman" w:cs="仿宋_GB2312"/>
          <w:kern w:val="0"/>
          <w:sz w:val="32"/>
          <w:szCs w:val="32"/>
        </w:rPr>
        <w:t>1</w:t>
      </w:r>
      <w:r w:rsidR="00A67766">
        <w:rPr>
          <w:rFonts w:ascii="仿宋_GB2312" w:eastAsia="仿宋_GB2312" w:hAnsi="Times New Roman" w:cs="仿宋_GB2312" w:hint="eastAsia"/>
          <w:kern w:val="0"/>
          <w:sz w:val="32"/>
          <w:szCs w:val="32"/>
        </w:rPr>
        <w:t>.</w:t>
      </w:r>
      <w:r w:rsidR="00A67766">
        <w:rPr>
          <w:rFonts w:ascii="仿宋_GB2312" w:eastAsia="仿宋_GB2312" w:hAnsi="Times New Roman" w:cs="仿宋_GB2312"/>
          <w:kern w:val="0"/>
          <w:sz w:val="32"/>
          <w:szCs w:val="32"/>
        </w:rPr>
        <w:t>11</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；公务接待费支出</w:t>
      </w:r>
      <w:r w:rsidR="00A67766" w:rsidRPr="00A67766">
        <w:rPr>
          <w:rFonts w:ascii="仿宋_GB2312" w:eastAsia="仿宋_GB2312" w:hAnsi="Times New Roman" w:cs="仿宋_GB2312"/>
          <w:kern w:val="0"/>
          <w:sz w:val="32"/>
          <w:szCs w:val="32"/>
        </w:rPr>
        <w:t>13.70</w:t>
      </w:r>
      <w:r>
        <w:rPr>
          <w:rFonts w:ascii="仿宋_GB2312" w:eastAsia="仿宋_GB2312" w:hAnsi="Times New Roman" w:cs="仿宋_GB2312" w:hint="eastAsia"/>
          <w:kern w:val="0"/>
          <w:sz w:val="32"/>
          <w:szCs w:val="32"/>
        </w:rPr>
        <w:t>万元，占</w:t>
      </w:r>
      <w:r w:rsidR="00A67766">
        <w:rPr>
          <w:rFonts w:ascii="仿宋_GB2312" w:eastAsia="仿宋_GB2312" w:hAnsi="Times New Roman" w:cs="仿宋_GB2312" w:hint="eastAsia"/>
          <w:kern w:val="0"/>
          <w:sz w:val="32"/>
          <w:szCs w:val="32"/>
        </w:rPr>
        <w:t>8.</w:t>
      </w:r>
      <w:r w:rsidR="00A67766">
        <w:rPr>
          <w:rFonts w:ascii="仿宋_GB2312" w:eastAsia="仿宋_GB2312" w:hAnsi="Times New Roman" w:cs="仿宋_GB2312"/>
          <w:kern w:val="0"/>
          <w:sz w:val="32"/>
          <w:szCs w:val="32"/>
        </w:rPr>
        <w:t>89</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。具体情况如下图：</w:t>
      </w:r>
    </w:p>
    <w:p w:rsidR="004F38F0" w:rsidRDefault="009E4A05">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因公出国（境）费年初预算为</w:t>
      </w:r>
      <w:r w:rsidR="00A67766">
        <w:rPr>
          <w:rFonts w:ascii="仿宋_GB2312" w:eastAsia="仿宋_GB2312" w:hAnsi="Times New Roman" w:cs="仿宋_GB2312"/>
          <w:kern w:val="0"/>
          <w:sz w:val="32"/>
          <w:szCs w:val="32"/>
        </w:rPr>
        <w:t>2.90</w:t>
      </w:r>
      <w:r>
        <w:rPr>
          <w:rFonts w:ascii="仿宋_GB2312" w:eastAsia="仿宋_GB2312" w:hAnsi="Times New Roman" w:cs="仿宋_GB2312"/>
          <w:kern w:val="0"/>
          <w:sz w:val="32"/>
          <w:szCs w:val="32"/>
        </w:rPr>
        <w:t xml:space="preserve"> </w:t>
      </w:r>
      <w:r>
        <w:rPr>
          <w:rFonts w:ascii="仿宋_GB2312" w:eastAsia="仿宋_GB2312" w:hAnsi="Times New Roman" w:cs="仿宋_GB2312" w:hint="eastAsia"/>
          <w:kern w:val="0"/>
          <w:sz w:val="32"/>
          <w:szCs w:val="32"/>
        </w:rPr>
        <w:t>万元，支出决算为</w:t>
      </w:r>
      <w:r w:rsidR="00DE1135">
        <w:rPr>
          <w:rFonts w:ascii="仿宋_GB2312" w:eastAsia="仿宋_GB2312" w:hAnsi="Times New Roman" w:cs="仿宋_GB2312" w:hint="eastAsia"/>
          <w:kern w:val="0"/>
          <w:sz w:val="32"/>
          <w:szCs w:val="32"/>
        </w:rPr>
        <w:t>0</w:t>
      </w:r>
      <w:r>
        <w:rPr>
          <w:rFonts w:ascii="仿宋_GB2312" w:eastAsia="仿宋_GB2312" w:hAnsi="Times New Roman" w:cs="仿宋_GB2312" w:hint="eastAsia"/>
          <w:kern w:val="0"/>
          <w:sz w:val="32"/>
          <w:szCs w:val="32"/>
        </w:rPr>
        <w:t>万元。</w:t>
      </w:r>
      <w:r w:rsidR="00DE1135">
        <w:rPr>
          <w:rFonts w:ascii="仿宋_GB2312" w:eastAsia="仿宋_GB2312" w:hAnsi="Times New Roman" w:cs="仿宋_GB2312"/>
          <w:kern w:val="0"/>
          <w:sz w:val="32"/>
          <w:szCs w:val="32"/>
        </w:rPr>
        <w:t>主要原因是受疫情影响，本年未安排因公出国（境）。</w:t>
      </w:r>
    </w:p>
    <w:p w:rsidR="00FF5C2B" w:rsidRDefault="009E4A05">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公务用车购置及运行费年初预算为</w:t>
      </w:r>
      <w:r w:rsidR="00A67766" w:rsidRPr="00A67766">
        <w:rPr>
          <w:rFonts w:ascii="仿宋_GB2312" w:eastAsia="仿宋_GB2312" w:hAnsi="Times New Roman" w:cs="仿宋_GB2312"/>
          <w:kern w:val="0"/>
          <w:sz w:val="32"/>
          <w:szCs w:val="32"/>
        </w:rPr>
        <w:t>150.59</w:t>
      </w:r>
      <w:r>
        <w:rPr>
          <w:rFonts w:ascii="仿宋_GB2312" w:eastAsia="仿宋_GB2312" w:hAnsi="Times New Roman" w:cs="仿宋_GB2312"/>
          <w:kern w:val="0"/>
          <w:sz w:val="32"/>
          <w:szCs w:val="32"/>
        </w:rPr>
        <w:t xml:space="preserve"> </w:t>
      </w:r>
      <w:r>
        <w:rPr>
          <w:rFonts w:ascii="仿宋_GB2312" w:eastAsia="仿宋_GB2312" w:hAnsi="Times New Roman" w:cs="仿宋_GB2312" w:hint="eastAsia"/>
          <w:kern w:val="0"/>
          <w:sz w:val="32"/>
          <w:szCs w:val="32"/>
        </w:rPr>
        <w:t>万元，支出决算为</w:t>
      </w:r>
      <w:r w:rsidR="00A67766" w:rsidRPr="00A67766">
        <w:rPr>
          <w:rFonts w:ascii="仿宋_GB2312" w:eastAsia="仿宋_GB2312" w:hAnsi="Times New Roman" w:cs="仿宋_GB2312"/>
          <w:kern w:val="0"/>
          <w:sz w:val="32"/>
          <w:szCs w:val="32"/>
        </w:rPr>
        <w:t>140.47</w:t>
      </w:r>
      <w:r>
        <w:rPr>
          <w:rFonts w:ascii="仿宋_GB2312" w:eastAsia="仿宋_GB2312" w:hAnsi="Times New Roman" w:cs="仿宋_GB2312" w:hint="eastAsia"/>
          <w:kern w:val="0"/>
          <w:sz w:val="32"/>
          <w:szCs w:val="32"/>
        </w:rPr>
        <w:t>万元，完成年初预算的</w:t>
      </w:r>
      <w:r w:rsidR="00A67766">
        <w:rPr>
          <w:rFonts w:ascii="仿宋_GB2312" w:eastAsia="仿宋_GB2312" w:hAnsi="Times New Roman" w:cs="仿宋_GB2312"/>
          <w:kern w:val="0"/>
          <w:sz w:val="32"/>
          <w:szCs w:val="32"/>
        </w:rPr>
        <w:t>93.28</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，均为公务用车运行支出。主要是继续加强公务用车管理，公务用车费用有所节约。</w:t>
      </w:r>
    </w:p>
    <w:p w:rsidR="004F38F0" w:rsidRDefault="009E4A05">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公务接待费年初预算为</w:t>
      </w:r>
      <w:r w:rsidR="00FF5C2B" w:rsidRPr="00FF5C2B">
        <w:rPr>
          <w:rFonts w:ascii="仿宋_GB2312" w:eastAsia="仿宋_GB2312" w:hAnsi="Times New Roman" w:cs="仿宋_GB2312"/>
          <w:kern w:val="0"/>
          <w:sz w:val="32"/>
          <w:szCs w:val="32"/>
        </w:rPr>
        <w:t>13.70</w:t>
      </w:r>
      <w:r>
        <w:rPr>
          <w:rFonts w:ascii="仿宋_GB2312" w:eastAsia="仿宋_GB2312" w:hAnsi="Times New Roman" w:cs="仿宋_GB2312" w:hint="eastAsia"/>
          <w:kern w:val="0"/>
          <w:sz w:val="32"/>
          <w:szCs w:val="32"/>
        </w:rPr>
        <w:t>万元，支出决算为</w:t>
      </w:r>
      <w:r w:rsidR="00FF5C2B" w:rsidRPr="00FF5C2B">
        <w:rPr>
          <w:rFonts w:ascii="仿宋_GB2312" w:eastAsia="仿宋_GB2312" w:hAnsi="Times New Roman" w:cs="仿宋_GB2312"/>
          <w:kern w:val="0"/>
          <w:sz w:val="32"/>
          <w:szCs w:val="32"/>
        </w:rPr>
        <w:t>13.70</w:t>
      </w:r>
      <w:r>
        <w:rPr>
          <w:rFonts w:ascii="仿宋_GB2312" w:eastAsia="仿宋_GB2312" w:hAnsi="Times New Roman" w:cs="仿宋_GB2312" w:hint="eastAsia"/>
          <w:kern w:val="0"/>
          <w:sz w:val="32"/>
          <w:szCs w:val="32"/>
        </w:rPr>
        <w:t>万元，完成年初预算的</w:t>
      </w:r>
      <w:r w:rsidR="00FF5C2B">
        <w:rPr>
          <w:rFonts w:ascii="仿宋_GB2312" w:eastAsia="仿宋_GB2312" w:hAnsi="Times New Roman" w:cs="仿宋_GB2312"/>
          <w:kern w:val="0"/>
          <w:sz w:val="32"/>
          <w:szCs w:val="32"/>
        </w:rPr>
        <w:t>100</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w:t>
      </w:r>
    </w:p>
    <w:p w:rsidR="004F38F0" w:rsidRDefault="009E4A05">
      <w:pPr>
        <w:spacing w:line="560" w:lineRule="exact"/>
        <w:ind w:left="643"/>
        <w:jc w:val="left"/>
        <w:rPr>
          <w:rFonts w:ascii="黑体" w:eastAsia="黑体" w:hAnsi="黑体" w:cs="楷体"/>
          <w:bCs/>
          <w:sz w:val="32"/>
          <w:szCs w:val="32"/>
        </w:rPr>
      </w:pPr>
      <w:r>
        <w:rPr>
          <w:rFonts w:ascii="黑体" w:eastAsia="黑体" w:hAnsi="黑体" w:cs="楷体" w:hint="eastAsia"/>
          <w:bCs/>
          <w:sz w:val="32"/>
          <w:szCs w:val="32"/>
        </w:rPr>
        <w:t>八、预算绩效情况的说明</w:t>
      </w:r>
    </w:p>
    <w:p w:rsidR="00FF5C2B" w:rsidRDefault="00FF5C2B" w:rsidP="00FF5C2B">
      <w:pPr>
        <w:spacing w:line="360" w:lineRule="auto"/>
        <w:ind w:firstLineChars="200" w:firstLine="643"/>
        <w:rPr>
          <w:rFonts w:ascii="仿宋_GB2312" w:eastAsia="仿宋_GB2312" w:hAnsi="仿宋" w:cs="仿宋"/>
          <w:bCs/>
          <w:sz w:val="32"/>
          <w:szCs w:val="32"/>
        </w:rPr>
      </w:pPr>
      <w:r>
        <w:rPr>
          <w:rFonts w:ascii="楷体_GB2312" w:eastAsia="楷体_GB2312" w:hAnsi="Times New Roman" w:cs="楷体_GB2312" w:hint="eastAsia"/>
          <w:b/>
          <w:kern w:val="0"/>
          <w:sz w:val="32"/>
          <w:szCs w:val="32"/>
        </w:rPr>
        <w:t>（一）</w:t>
      </w:r>
      <w:r>
        <w:rPr>
          <w:rFonts w:ascii="仿宋_GB2312" w:eastAsia="仿宋_GB2312" w:hAnsi="仿宋" w:cs="仿宋" w:hint="eastAsia"/>
          <w:bCs/>
          <w:sz w:val="32"/>
          <w:szCs w:val="32"/>
        </w:rPr>
        <w:t>根据《中央部门预算绩效目标管理办法》（财预〔2015〕88号）、及《关于开展中央部门项目支出绩效自评工作的通知》（财办预〔2016〕123号）的要求，重庆煤矿安全监察局组织对本部门及所属预算单位的所有二级项目实事求是的开展了绩效自评工作，实现绩效自评全覆盖。</w:t>
      </w:r>
    </w:p>
    <w:p w:rsidR="00FF5C2B" w:rsidRDefault="00FF5C2B" w:rsidP="00FF5C2B">
      <w:pPr>
        <w:spacing w:line="360" w:lineRule="auto"/>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lastRenderedPageBreak/>
        <w:t>项目绩效自评采取打分评价的形式，主要是对照年初预算设定的绩效目标及指标值，对应填报年度实际完成值开展评价。行政事业类项目自评一级指标权重设置为产出指标50分、效益指标30分、服务对象满意度指标10分、预算资金执行率10分；基本建设类项目自评一级指标权重设置为产出指标50分、效益指标30分、服务对象满意度指标10分、预算资金执行率10分。</w:t>
      </w:r>
    </w:p>
    <w:p w:rsidR="00FF5C2B" w:rsidRDefault="00FF5C2B" w:rsidP="00FF5C2B">
      <w:pPr>
        <w:spacing w:line="360" w:lineRule="auto"/>
        <w:ind w:firstLineChars="200" w:firstLine="643"/>
        <w:rPr>
          <w:rFonts w:ascii="仿宋_GB2312" w:eastAsia="仿宋_GB2312" w:hAnsi="仿宋" w:cs="仿宋"/>
          <w:bCs/>
          <w:sz w:val="32"/>
          <w:szCs w:val="32"/>
        </w:rPr>
      </w:pPr>
      <w:r>
        <w:rPr>
          <w:rFonts w:ascii="楷体_GB2312" w:eastAsia="楷体_GB2312" w:hAnsi="Times New Roman" w:cs="楷体_GB2312" w:hint="eastAsia"/>
          <w:b/>
          <w:kern w:val="0"/>
          <w:sz w:val="32"/>
          <w:szCs w:val="32"/>
        </w:rPr>
        <w:t>（二）</w:t>
      </w:r>
      <w:r>
        <w:rPr>
          <w:rFonts w:ascii="仿宋_GB2312" w:eastAsia="仿宋_GB2312" w:hAnsi="仿宋" w:cs="仿宋" w:hint="eastAsia"/>
          <w:bCs/>
          <w:sz w:val="32"/>
          <w:szCs w:val="32"/>
        </w:rPr>
        <w:t>二级项目绩效自评金额、个数、覆盖率</w:t>
      </w:r>
    </w:p>
    <w:p w:rsidR="00FF5C2B" w:rsidRDefault="00FF5C2B" w:rsidP="00FF5C2B">
      <w:pPr>
        <w:spacing w:line="360" w:lineRule="auto"/>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全局二级项目绩效自评金额合计3,873.68万元，二级项目13个，覆盖率100%。</w:t>
      </w:r>
    </w:p>
    <w:p w:rsidR="00FF5C2B" w:rsidRDefault="00FF5C2B" w:rsidP="00FF5C2B">
      <w:pPr>
        <w:spacing w:line="360" w:lineRule="auto"/>
        <w:ind w:firstLineChars="200" w:firstLine="643"/>
        <w:rPr>
          <w:rFonts w:ascii="仿宋_GB2312" w:eastAsia="仿宋_GB2312" w:hAnsi="仿宋" w:cs="仿宋"/>
          <w:bCs/>
          <w:sz w:val="32"/>
          <w:szCs w:val="32"/>
        </w:rPr>
      </w:pPr>
      <w:r>
        <w:rPr>
          <w:rFonts w:ascii="楷体_GB2312" w:eastAsia="楷体_GB2312" w:hAnsi="Times New Roman" w:cs="楷体_GB2312" w:hint="eastAsia"/>
          <w:b/>
          <w:kern w:val="0"/>
          <w:sz w:val="32"/>
          <w:szCs w:val="32"/>
        </w:rPr>
        <w:t>（三）</w:t>
      </w:r>
      <w:r>
        <w:rPr>
          <w:rFonts w:ascii="仿宋_GB2312" w:eastAsia="仿宋_GB2312" w:hAnsi="仿宋" w:cs="仿宋" w:hint="eastAsia"/>
          <w:bCs/>
          <w:sz w:val="32"/>
          <w:szCs w:val="32"/>
        </w:rPr>
        <w:t>主要经验和存在问题</w:t>
      </w:r>
    </w:p>
    <w:p w:rsidR="00FF5C2B" w:rsidRDefault="00FF5C2B" w:rsidP="00FF5C2B">
      <w:pPr>
        <w:spacing w:line="360" w:lineRule="auto"/>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1、项目绩效目标层次设置不科学，未能充分覆盖项目效益各方面。比如重庆市已不再下达煤炭百万吨死亡率指标。</w:t>
      </w:r>
    </w:p>
    <w:p w:rsidR="00FF5C2B" w:rsidRDefault="00FF5C2B" w:rsidP="00FF5C2B">
      <w:pPr>
        <w:spacing w:line="360" w:lineRule="auto"/>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2、对基本建设项目支出进度预估较乐观，对影响支出进度的因素估计不足，导致项目预算执行进度与年初预算估计差距较大。</w:t>
      </w:r>
    </w:p>
    <w:p w:rsidR="00FF5C2B" w:rsidRDefault="00FF5C2B" w:rsidP="00FF5C2B">
      <w:pPr>
        <w:spacing w:line="360" w:lineRule="auto"/>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当年预算执行及绩效管理中存在问题、原因及改进措施。</w:t>
      </w:r>
    </w:p>
    <w:p w:rsidR="00FF5C2B" w:rsidRDefault="00FF5C2B" w:rsidP="00FF5C2B">
      <w:pPr>
        <w:spacing w:line="360" w:lineRule="auto"/>
        <w:ind w:firstLineChars="200" w:firstLine="640"/>
        <w:rPr>
          <w:rFonts w:ascii="仿宋_GB2312" w:eastAsia="仿宋_GB2312" w:hAnsi="仿宋" w:cs="仿宋"/>
          <w:bCs/>
          <w:sz w:val="32"/>
          <w:szCs w:val="32"/>
        </w:rPr>
      </w:pPr>
      <w:r>
        <w:rPr>
          <w:rFonts w:ascii="Calibri" w:eastAsia="仿宋_GB2312" w:hAnsi="Calibri" w:cs="Calibri"/>
          <w:bCs/>
          <w:sz w:val="32"/>
          <w:szCs w:val="32"/>
        </w:rPr>
        <w:t> </w:t>
      </w:r>
      <w:r>
        <w:rPr>
          <w:rFonts w:ascii="仿宋_GB2312" w:eastAsia="仿宋_GB2312" w:hAnsi="仿宋" w:cs="仿宋" w:hint="eastAsia"/>
          <w:bCs/>
          <w:sz w:val="32"/>
          <w:szCs w:val="32"/>
        </w:rPr>
        <w:t>一是预算执行进度达不到要求，主要是基本建设项目进度慢（原因如上所说）</w:t>
      </w:r>
    </w:p>
    <w:p w:rsidR="00FF5C2B" w:rsidRDefault="00FF5C2B" w:rsidP="00FF5C2B">
      <w:pPr>
        <w:spacing w:line="360" w:lineRule="auto"/>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二是还存在部分没有预算的支出，预算约束功能不够。原因是单位相关人员对于预算管理的重要性认识不够。</w:t>
      </w:r>
    </w:p>
    <w:p w:rsidR="00FF5C2B" w:rsidRDefault="00FF5C2B" w:rsidP="00FF5C2B">
      <w:pPr>
        <w:spacing w:line="360" w:lineRule="auto"/>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三是人员经费实际支出与预算财政拨款存在较大差距，导致</w:t>
      </w:r>
      <w:r>
        <w:rPr>
          <w:rFonts w:ascii="仿宋_GB2312" w:eastAsia="仿宋_GB2312" w:hAnsi="仿宋" w:cs="仿宋" w:hint="eastAsia"/>
          <w:bCs/>
          <w:sz w:val="32"/>
          <w:szCs w:val="32"/>
        </w:rPr>
        <w:lastRenderedPageBreak/>
        <w:t>预算实际执行过程中人员经费挤占公用经费的情况。</w:t>
      </w:r>
    </w:p>
    <w:p w:rsidR="00FF5C2B" w:rsidRDefault="00FF5C2B" w:rsidP="00FF5C2B">
      <w:pPr>
        <w:spacing w:line="360" w:lineRule="auto"/>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改进措施：加强预算重要性的认识，进一步强化预算约束功能，采取行之有效的措施，抓好年度预算的执行；强化财经纪律，进一步修改、完善经费开支的管理制度，并强化实施监督；进一步强化全局财务人员、骨干人员、财务部门负责人的业务培训，全面提升全局财务管理水平。</w:t>
      </w:r>
    </w:p>
    <w:p w:rsidR="004F38F0" w:rsidRDefault="009E4A05">
      <w:pPr>
        <w:autoSpaceDE w:val="0"/>
        <w:autoSpaceDN w:val="0"/>
        <w:adjustRightInd w:val="0"/>
        <w:ind w:firstLineChars="300" w:firstLine="960"/>
        <w:jc w:val="left"/>
        <w:rPr>
          <w:rFonts w:ascii="黑体" w:eastAsia="黑体" w:hAnsi="黑体"/>
          <w:color w:val="FFFFFF" w:themeColor="background1"/>
        </w:rPr>
      </w:pPr>
      <w:r>
        <w:rPr>
          <w:rFonts w:ascii="黑体" w:eastAsia="黑体" w:hAnsi="黑体" w:cs="仿宋" w:hint="eastAsia"/>
          <w:sz w:val="32"/>
          <w:szCs w:val="32"/>
        </w:rPr>
        <w:t>九、其他重要事项的情况说明</w:t>
      </w:r>
    </w:p>
    <w:p w:rsidR="004F38F0" w:rsidRDefault="009E4A05">
      <w:pPr>
        <w:spacing w:line="520" w:lineRule="exact"/>
        <w:ind w:firstLineChars="200" w:firstLine="643"/>
        <w:jc w:val="left"/>
        <w:rPr>
          <w:rFonts w:ascii="楷体" w:eastAsia="楷体" w:hAnsi="楷体" w:cs="仿宋"/>
          <w:b/>
          <w:sz w:val="32"/>
          <w:szCs w:val="32"/>
        </w:rPr>
      </w:pPr>
      <w:r>
        <w:rPr>
          <w:rFonts w:ascii="楷体" w:eastAsia="楷体" w:hAnsi="楷体" w:cs="仿宋" w:hint="eastAsia"/>
          <w:b/>
          <w:sz w:val="32"/>
          <w:szCs w:val="32"/>
        </w:rPr>
        <w:t>（一）机关运行经费支出情况。</w:t>
      </w:r>
    </w:p>
    <w:p w:rsidR="004F38F0" w:rsidRPr="00D326F0" w:rsidRDefault="00384514" w:rsidP="00D326F0">
      <w:pPr>
        <w:spacing w:line="520" w:lineRule="exact"/>
        <w:ind w:firstLineChars="200" w:firstLine="640"/>
        <w:jc w:val="left"/>
        <w:rPr>
          <w:rFonts w:ascii="楷体" w:eastAsia="楷体" w:hAnsi="楷体" w:cs="仿宋"/>
          <w:b/>
          <w:sz w:val="32"/>
          <w:szCs w:val="32"/>
        </w:rPr>
      </w:pPr>
      <w:r>
        <w:rPr>
          <w:rFonts w:ascii="仿宋_GB2312" w:eastAsia="仿宋_GB2312" w:hAnsi="Times New Roman" w:cs="仿宋_GB2312" w:hint="eastAsia"/>
          <w:kern w:val="0"/>
          <w:sz w:val="32"/>
          <w:szCs w:val="32"/>
        </w:rPr>
        <w:t>重庆</w:t>
      </w:r>
      <w:r w:rsidR="009E4A05">
        <w:rPr>
          <w:rFonts w:ascii="仿宋_GB2312" w:eastAsia="仿宋_GB2312" w:hAnsi="Times New Roman" w:cs="仿宋_GB2312" w:hint="eastAsia"/>
          <w:kern w:val="0"/>
          <w:sz w:val="32"/>
          <w:szCs w:val="32"/>
        </w:rPr>
        <w:t>煤矿安全监察局</w:t>
      </w:r>
      <w:r w:rsidRPr="00384514">
        <w:rPr>
          <w:rFonts w:ascii="仿宋_GB2312" w:eastAsia="仿宋_GB2312" w:hAnsi="Times New Roman" w:cs="仿宋_GB2312" w:hint="eastAsia"/>
          <w:kern w:val="0"/>
          <w:sz w:val="32"/>
          <w:szCs w:val="32"/>
        </w:rPr>
        <w:t>行政单位、参照公务员法管理的事业单位机关运行经费支出580.72万元，比上年721.17万元减少140.45万元，减少19.48%，主要是牢固树立过“紧日子”思想，大力压缩运行经费。</w:t>
      </w:r>
    </w:p>
    <w:p w:rsidR="00384514" w:rsidRDefault="009E4A05" w:rsidP="00384514">
      <w:pPr>
        <w:spacing w:line="520" w:lineRule="exact"/>
        <w:ind w:firstLineChars="200" w:firstLine="643"/>
        <w:jc w:val="left"/>
        <w:rPr>
          <w:rFonts w:ascii="仿宋_GB2312" w:eastAsia="仿宋_GB2312" w:hAnsi="Times New Roman" w:cs="仿宋_GB2312"/>
          <w:kern w:val="0"/>
          <w:sz w:val="32"/>
          <w:szCs w:val="32"/>
        </w:rPr>
      </w:pPr>
      <w:r>
        <w:rPr>
          <w:rFonts w:ascii="楷体" w:eastAsia="楷体" w:hAnsi="楷体" w:cs="仿宋" w:hint="eastAsia"/>
          <w:b/>
          <w:sz w:val="32"/>
          <w:szCs w:val="32"/>
        </w:rPr>
        <w:t>（</w:t>
      </w:r>
      <w:r w:rsidR="00D326F0">
        <w:rPr>
          <w:rFonts w:ascii="楷体" w:eastAsia="楷体" w:hAnsi="楷体" w:cs="仿宋" w:hint="eastAsia"/>
          <w:b/>
          <w:sz w:val="32"/>
          <w:szCs w:val="32"/>
        </w:rPr>
        <w:t>二</w:t>
      </w:r>
      <w:r>
        <w:rPr>
          <w:rFonts w:ascii="楷体" w:eastAsia="楷体" w:hAnsi="楷体" w:cs="仿宋" w:hint="eastAsia"/>
          <w:b/>
          <w:sz w:val="32"/>
          <w:szCs w:val="32"/>
        </w:rPr>
        <w:t>）</w:t>
      </w:r>
      <w:r w:rsidR="00384514" w:rsidRPr="00384514">
        <w:rPr>
          <w:rFonts w:ascii="楷体" w:eastAsia="楷体" w:hAnsi="楷体" w:cs="仿宋" w:hint="eastAsia"/>
          <w:b/>
          <w:sz w:val="32"/>
          <w:szCs w:val="32"/>
        </w:rPr>
        <w:t>政府采购支出情况</w:t>
      </w:r>
      <w:r w:rsidR="00384514" w:rsidRPr="00384514">
        <w:rPr>
          <w:rFonts w:ascii="仿宋_GB2312" w:eastAsia="仿宋_GB2312" w:hAnsi="Times New Roman" w:cs="仿宋_GB2312" w:hint="eastAsia"/>
          <w:kern w:val="0"/>
          <w:sz w:val="32"/>
          <w:szCs w:val="32"/>
        </w:rPr>
        <w:t>。</w:t>
      </w:r>
    </w:p>
    <w:p w:rsidR="004F38F0" w:rsidRDefault="00384514" w:rsidP="00384514">
      <w:pPr>
        <w:spacing w:line="520" w:lineRule="exact"/>
        <w:ind w:firstLineChars="200" w:firstLine="640"/>
        <w:jc w:val="left"/>
        <w:rPr>
          <w:rFonts w:ascii="仿宋" w:eastAsia="仿宋" w:hAnsi="仿宋" w:cs="仿宋"/>
          <w:sz w:val="32"/>
          <w:szCs w:val="32"/>
        </w:rPr>
      </w:pPr>
      <w:r w:rsidRPr="00384514">
        <w:rPr>
          <w:rFonts w:ascii="仿宋_GB2312" w:eastAsia="仿宋_GB2312" w:hAnsi="Times New Roman" w:cs="仿宋_GB2312" w:hint="eastAsia"/>
          <w:kern w:val="0"/>
          <w:sz w:val="32"/>
          <w:szCs w:val="32"/>
        </w:rPr>
        <w:t>2020年政府采购支出总额2,404.76万元。采购类型全部为货物采购，其中中小企业采购17.98万元。</w:t>
      </w: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B7792C">
      <w:pPr>
        <w:spacing w:line="560" w:lineRule="exact"/>
        <w:jc w:val="left"/>
        <w:rPr>
          <w:rFonts w:ascii="仿宋" w:eastAsia="仿宋" w:hAnsi="仿宋" w:cs="仿宋"/>
          <w:sz w:val="32"/>
          <w:szCs w:val="32"/>
        </w:rPr>
      </w:pPr>
      <w:r w:rsidRPr="00B7792C">
        <w:rPr>
          <w:rFonts w:ascii="仿宋" w:eastAsia="仿宋" w:hAnsi="仿宋" w:cs="仿宋"/>
          <w:noProof/>
          <w:color w:val="000000"/>
          <w:sz w:val="32"/>
          <w:szCs w:val="32"/>
        </w:rPr>
        <w:pict>
          <v:rect id="矩形 12" o:spid="_x0000_s1035" style="position:absolute;margin-left:470.4pt;margin-top:2.4pt;width:148.1pt;height:858.1pt;z-index:251662336;visibility:visible;mso-width-percent:242;mso-wrap-distance-left:36pt;mso-position-horizontal-relative:page;mso-position-vertical-relative:page;mso-width-percent: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" o:allowincell="f" fillcolor="#6e774e" stroked="f">
            <v:fill opacity="22873f"/>
            <v:textbox inset="14.4pt,122.4pt,14.4pt,5.76pt">
              <w:txbxContent>
                <w:p w:rsidR="009E4A05" w:rsidRDefault="009E4A05">
                  <w:pPr>
                    <w:spacing w:line="360" w:lineRule="auto"/>
                    <w:rPr>
                      <w:color w:val="FFFFFF" w:themeColor="background1"/>
                    </w:rPr>
                  </w:pPr>
                </w:p>
              </w:txbxContent>
            </v:textbox>
            <w10:wrap type="square" anchorx="page" anchory="page"/>
          </v:rect>
        </w:pict>
      </w:r>
    </w:p>
    <w:p w:rsidR="004F38F0" w:rsidRDefault="004F38F0">
      <w:pPr>
        <w:spacing w:line="560" w:lineRule="exact"/>
        <w:jc w:val="left"/>
        <w:rPr>
          <w:rFonts w:ascii="仿宋" w:eastAsia="仿宋" w:hAnsi="仿宋" w:cs="仿宋"/>
          <w:sz w:val="32"/>
          <w:szCs w:val="32"/>
        </w:rPr>
      </w:pPr>
    </w:p>
    <w:p w:rsidR="004F38F0" w:rsidRDefault="00B7792C">
      <w:pPr>
        <w:spacing w:line="560" w:lineRule="exact"/>
        <w:jc w:val="left"/>
        <w:rPr>
          <w:rFonts w:ascii="仿宋" w:eastAsia="仿宋" w:hAnsi="仿宋" w:cs="仿宋"/>
          <w:sz w:val="32"/>
          <w:szCs w:val="32"/>
        </w:rPr>
      </w:pPr>
      <w:r>
        <w:rPr>
          <w:rFonts w:ascii="仿宋" w:eastAsia="仿宋" w:hAnsi="仿宋" w:cs="仿宋"/>
          <w:noProof/>
          <w:sz w:val="32"/>
          <w:szCs w:val="32"/>
        </w:rPr>
        <w:pict>
          <v:roundrect id="圆角矩形 288" o:spid="_x0000_s1036" style="position:absolute;margin-left:-76.55pt;margin-top:10pt;width:595.2pt;height:175.2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" fillcolor="#c3c3c3 [2166]" strokecolor="#a5a5a5 [3206]" strokeweight=".5pt">
            <v:fill color2="#b6b6b6 [2614]" rotate="t" colors="0 #d2d2d2;.5 #c8c8c8;1 silver" focus="100%" type="gradient">
              <o:fill v:ext="view" type="gradientUnscaled"/>
            </v:fill>
            <v:stroke joinstyle="miter"/>
            <v:textbox>
              <w:txbxContent>
                <w:p w:rsidR="009E4A05" w:rsidRDefault="009E4A05">
                  <w:pPr>
                    <w:ind w:firstLineChars="147" w:firstLine="1240"/>
                    <w:rPr>
                      <w:rFonts w:ascii="黑体" w:eastAsia="黑体" w:hAnsi="黑体"/>
                      <w:b/>
                      <w:color w:val="E7E6E6" w:themeColor="background2"/>
                      <w:sz w:val="84"/>
                      <w:szCs w:val="84"/>
                    </w:rPr>
                  </w:pPr>
                  <w:r>
                    <w:rPr>
                      <w:rFonts w:ascii="黑体" w:eastAsia="黑体" w:hAnsi="黑体" w:hint="eastAsia"/>
                      <w:b/>
                      <w:color w:val="E7E6E6" w:themeColor="background2"/>
                      <w:sz w:val="84"/>
                      <w:szCs w:val="84"/>
                    </w:rPr>
                    <w:t>第四部分</w:t>
                  </w:r>
                </w:p>
                <w:p w:rsidR="009E4A05" w:rsidRDefault="009E4A05">
                  <w:pPr>
                    <w:jc w:val="center"/>
                    <w:rPr>
                      <w:rFonts w:ascii="黑体" w:eastAsia="黑体" w:hAnsi="黑体"/>
                      <w:b/>
                      <w:color w:val="E7E6E6" w:themeColor="background2"/>
                      <w:sz w:val="84"/>
                      <w:szCs w:val="84"/>
                    </w:rPr>
                  </w:pPr>
                  <w:r>
                    <w:rPr>
                      <w:rFonts w:ascii="黑体" w:eastAsia="黑体" w:hAnsi="黑体" w:hint="eastAsia"/>
                      <w:b/>
                      <w:color w:val="E7E6E6" w:themeColor="background2"/>
                      <w:sz w:val="84"/>
                      <w:szCs w:val="84"/>
                    </w:rPr>
                    <w:t xml:space="preserve">      名词解释</w:t>
                  </w:r>
                </w:p>
              </w:txbxContent>
            </v:textbox>
          </v:roundrect>
        </w:pict>
      </w: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spacing w:line="560" w:lineRule="exact"/>
        <w:jc w:val="left"/>
        <w:rPr>
          <w:rFonts w:ascii="仿宋" w:eastAsia="仿宋" w:hAnsi="仿宋" w:cs="仿宋"/>
          <w:sz w:val="32"/>
          <w:szCs w:val="32"/>
        </w:rPr>
      </w:pPr>
    </w:p>
    <w:p w:rsidR="004F38F0" w:rsidRDefault="004F38F0">
      <w:pPr>
        <w:autoSpaceDE w:val="0"/>
        <w:autoSpaceDN w:val="0"/>
        <w:adjustRightInd w:val="0"/>
        <w:spacing w:line="560" w:lineRule="exact"/>
        <w:jc w:val="left"/>
        <w:rPr>
          <w:rFonts w:ascii="仿宋_GB2312" w:eastAsia="仿宋_GB2312" w:hAnsi="Times New Roman" w:cs="仿宋_GB2312"/>
          <w:b/>
          <w:bCs/>
          <w:kern w:val="0"/>
          <w:sz w:val="32"/>
          <w:szCs w:val="32"/>
        </w:rPr>
      </w:pPr>
    </w:p>
    <w:p w:rsidR="004F38F0" w:rsidRDefault="00B7792C">
      <w:pPr>
        <w:autoSpaceDE w:val="0"/>
        <w:autoSpaceDN w:val="0"/>
        <w:adjustRightInd w:val="0"/>
        <w:spacing w:line="560" w:lineRule="exact"/>
        <w:ind w:firstLineChars="300" w:firstLine="630"/>
        <w:jc w:val="left"/>
        <w:rPr>
          <w:rFonts w:ascii="仿宋_GB2312" w:eastAsia="仿宋_GB2312" w:hAnsi="Times New Roman" w:cs="仿宋_GB2312"/>
          <w:kern w:val="0"/>
          <w:sz w:val="32"/>
          <w:szCs w:val="32"/>
        </w:rPr>
      </w:pPr>
      <w:r w:rsidRPr="00B7792C">
        <w:rPr>
          <w:noProof/>
        </w:rPr>
        <w:pict>
          <v:rect id="_x0000_s1037" style="position:absolute;left:0;text-align:left;margin-left:22.2pt;margin-top:12pt;width:579pt;height:39.6pt;flip:x;z-index:251670528;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" o:allowincell="f" fillcolor="#afafaf" strokecolor="#a5a5a5" strokeweight=".5pt">
            <v:fill color2="#929292" rotate="t" colors="0 #afafaf;.5 #a5a5a5;1 #929292" focus="100%" type="gradient">
              <o:fill v:ext="view" type="gradientUnscaled"/>
            </v:fill>
            <v:shadow on="t" color="#70ad47" origin=",.5" offset="-30.55769mm,-4.83986mm"/>
            <v:textbox inset="36pt,7.2pt,10.8pt,0">
              <w:txbxContent>
                <w:p w:rsidR="009E4A05" w:rsidRDefault="00384514">
                  <w:pPr>
                    <w:ind w:firstLineChars="196" w:firstLine="708"/>
                    <w:rPr>
                      <w:rFonts w:asciiTheme="majorHAnsi" w:eastAsia="宋体" w:hAnsiTheme="majorHAnsi" w:cstheme="majorBidi"/>
                      <w:i/>
                      <w:iCs/>
                      <w:color w:val="FFFFFF" w:themeColor="background1"/>
                      <w:sz w:val="36"/>
                      <w:szCs w:val="36"/>
                    </w:rPr>
                  </w:pPr>
                  <w:r>
                    <w:rPr>
                      <w:rFonts w:hint="eastAsia"/>
                      <w:b/>
                      <w:sz w:val="36"/>
                    </w:rPr>
                    <w:t>重庆</w:t>
                  </w:r>
                  <w:r w:rsidR="009E4A05">
                    <w:rPr>
                      <w:b/>
                      <w:sz w:val="36"/>
                    </w:rPr>
                    <w:t>煤矿安全监察局</w:t>
                  </w:r>
                  <w:r w:rsidR="009E4A05">
                    <w:rPr>
                      <w:b/>
                      <w:sz w:val="36"/>
                    </w:rPr>
                    <w:t>20</w:t>
                  </w:r>
                  <w:r w:rsidR="009E4A05">
                    <w:rPr>
                      <w:rFonts w:hint="eastAsia"/>
                      <w:b/>
                      <w:sz w:val="36"/>
                    </w:rPr>
                    <w:t>20</w:t>
                  </w:r>
                  <w:r w:rsidR="009E4A05">
                    <w:rPr>
                      <w:b/>
                      <w:sz w:val="36"/>
                    </w:rPr>
                    <w:t>年</w:t>
                  </w:r>
                  <w:r w:rsidR="009E4A05">
                    <w:rPr>
                      <w:rFonts w:hint="eastAsia"/>
                      <w:b/>
                      <w:sz w:val="36"/>
                    </w:rPr>
                    <w:t>度</w:t>
                  </w:r>
                  <w:r w:rsidR="009E4A05">
                    <w:rPr>
                      <w:b/>
                      <w:sz w:val="36"/>
                    </w:rPr>
                    <w:t>部门</w:t>
                  </w:r>
                  <w:r w:rsidR="009E4A05">
                    <w:rPr>
                      <w:rFonts w:hint="eastAsia"/>
                      <w:b/>
                      <w:sz w:val="36"/>
                    </w:rPr>
                    <w:t>决</w:t>
                  </w:r>
                  <w:r w:rsidR="009E4A05">
                    <w:rPr>
                      <w:b/>
                      <w:sz w:val="36"/>
                    </w:rPr>
                    <w:t>算</w:t>
                  </w:r>
                  <w:r w:rsidR="009E4A05">
                    <w:rPr>
                      <w:rFonts w:ascii="MS Mincho" w:eastAsia="MS Mincho" w:hAnsi="MS Mincho" w:cs="MS Mincho" w:hint="eastAsia"/>
                      <w:b/>
                      <w:sz w:val="36"/>
                    </w:rPr>
                    <w:t>☞</w:t>
                  </w:r>
                  <w:r w:rsidR="009E4A05">
                    <w:rPr>
                      <w:rFonts w:eastAsia="宋体" w:hint="eastAsia"/>
                      <w:b/>
                      <w:sz w:val="36"/>
                    </w:rPr>
                    <w:t>名词解释</w:t>
                  </w:r>
                </w:p>
              </w:txbxContent>
            </v:textbox>
            <w10:wrap type="square" anchorx="page" anchory="page"/>
          </v:rect>
        </w:pict>
      </w:r>
      <w:r w:rsidR="009E4A05">
        <w:rPr>
          <w:rFonts w:ascii="仿宋_GB2312" w:eastAsia="仿宋_GB2312" w:hAnsi="Times New Roman" w:cs="仿宋_GB2312" w:hint="eastAsia"/>
          <w:b/>
          <w:bCs/>
          <w:kern w:val="0"/>
          <w:sz w:val="32"/>
          <w:szCs w:val="32"/>
        </w:rPr>
        <w:t>（一）财政拨款收入：</w:t>
      </w:r>
      <w:r w:rsidR="009E4A05">
        <w:rPr>
          <w:rFonts w:ascii="仿宋_GB2312" w:eastAsia="仿宋_GB2312" w:hAnsi="Times New Roman" w:cs="仿宋_GB2312" w:hint="eastAsia"/>
          <w:kern w:val="0"/>
          <w:sz w:val="32"/>
          <w:szCs w:val="32"/>
        </w:rPr>
        <w:t>指单位从同级财政部门取得的财政预算资金。</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（二）一般公共预算拨款收入</w:t>
      </w:r>
      <w:r>
        <w:rPr>
          <w:rFonts w:ascii="仿宋_GB2312" w:eastAsia="仿宋_GB2312" w:hAnsi="Times New Roman" w:cs="仿宋_GB2312" w:hint="eastAsia"/>
          <w:kern w:val="0"/>
          <w:sz w:val="32"/>
          <w:szCs w:val="32"/>
        </w:rPr>
        <w:t>：指中央财政当年拨付的资金。</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（三）事业收入：</w:t>
      </w:r>
      <w:r>
        <w:rPr>
          <w:rFonts w:ascii="仿宋_GB2312" w:eastAsia="仿宋_GB2312" w:hAnsi="Times New Roman" w:cs="仿宋_GB2312" w:hint="eastAsia"/>
          <w:kern w:val="0"/>
          <w:sz w:val="32"/>
          <w:szCs w:val="32"/>
        </w:rPr>
        <w:t>指事业单位开展专业业务活动及辅助活动所取得的收入。</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（四）其他收入：</w:t>
      </w:r>
      <w:r>
        <w:rPr>
          <w:rFonts w:ascii="仿宋_GB2312" w:eastAsia="仿宋_GB2312" w:hAnsi="Times New Roman" w:cs="仿宋_GB2312" w:hint="eastAsia"/>
          <w:kern w:val="0"/>
          <w:sz w:val="32"/>
          <w:szCs w:val="32"/>
        </w:rPr>
        <w:t>指除上述“财政拨款收入”、“一般公共预算拨款收入”、“事业收入”等以外的收入。主要是存款利息收入等。</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（五）用事业基金弥补收支差额：</w:t>
      </w:r>
      <w:r>
        <w:rPr>
          <w:rFonts w:ascii="仿宋_GB2312" w:eastAsia="仿宋_GB2312" w:hAnsi="Times New Roman" w:cs="仿宋_GB2312" w:hint="eastAsia"/>
          <w:kern w:val="0"/>
          <w:sz w:val="32"/>
          <w:szCs w:val="32"/>
        </w:rPr>
        <w:t>指事业单位在当年的“财政拨款收入”、“财政拨款结转和结余资金”、“事业收入”、“经营收入”、“附属单位上缴收入”、“其他收入”不足以安排当年支出的情况下，使用以前年度积累的事业基金事业单位当年收支相抵后按国家规定提取、用于弥补以后年度收支差额的基金）弥补本年度收支缺口的资金。</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（六）年初结转和结余：</w:t>
      </w:r>
      <w:r>
        <w:rPr>
          <w:rFonts w:ascii="仿宋_GB2312" w:eastAsia="仿宋_GB2312" w:hAnsi="Times New Roman" w:cs="仿宋_GB2312" w:hint="eastAsia"/>
          <w:kern w:val="0"/>
          <w:sz w:val="32"/>
          <w:szCs w:val="32"/>
        </w:rPr>
        <w:t>指单位以前年度尚未完成、结转到本年按原规定用途继续使用的资金。</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（七）社会保障和就业支出（类）行政事业单位离退休（款）归口管理的行政单位离退休（项）</w:t>
      </w:r>
      <w:r w:rsidR="00384514">
        <w:rPr>
          <w:rFonts w:ascii="仿宋_GB2312" w:eastAsia="仿宋_GB2312" w:hAnsi="Times New Roman" w:cs="仿宋_GB2312" w:hint="eastAsia"/>
          <w:kern w:val="0"/>
          <w:sz w:val="32"/>
          <w:szCs w:val="32"/>
        </w:rPr>
        <w:t>：指重庆</w:t>
      </w:r>
      <w:r>
        <w:rPr>
          <w:rFonts w:ascii="仿宋_GB2312" w:eastAsia="仿宋_GB2312" w:hAnsi="Times New Roman" w:cs="仿宋_GB2312" w:hint="eastAsia"/>
          <w:kern w:val="0"/>
          <w:sz w:val="32"/>
          <w:szCs w:val="32"/>
        </w:rPr>
        <w:t>煤矿安全监察局行政退休人员的支出。</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（八）社会保障和就业支出（类）行政事业单位离退休（款）机关事业单位基本养老保险缴费支出（项）：</w:t>
      </w:r>
      <w:r>
        <w:rPr>
          <w:rFonts w:ascii="仿宋_GB2312" w:eastAsia="仿宋_GB2312" w:hAnsi="Times New Roman" w:cs="仿宋_GB2312" w:hint="eastAsia"/>
          <w:kern w:val="0"/>
          <w:sz w:val="32"/>
          <w:szCs w:val="32"/>
        </w:rPr>
        <w:t>指机关事业单位实施养老保险制度由单位缴纳的基本养老保险费支出。</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lastRenderedPageBreak/>
        <w:t>（九）社会保障和就业支出（类）行政事业单位离退休（款）机关事业单位职业年金缴费支出（项）：</w:t>
      </w:r>
      <w:r>
        <w:rPr>
          <w:rFonts w:ascii="仿宋_GB2312" w:eastAsia="仿宋_GB2312" w:hAnsi="Times New Roman" w:cs="仿宋_GB2312" w:hint="eastAsia"/>
          <w:kern w:val="0"/>
          <w:sz w:val="32"/>
          <w:szCs w:val="32"/>
        </w:rPr>
        <w:t>指机关事业单位实施养老保险制度由单位缴纳的职业年金支出。</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（十）卫生健康（类）行政事业单位医疗（款）行政单位医疗（项）：</w:t>
      </w:r>
      <w:r>
        <w:rPr>
          <w:rFonts w:ascii="仿宋_GB2312" w:eastAsia="仿宋_GB2312" w:hAnsi="Times New Roman" w:cs="仿宋_GB2312" w:hint="eastAsia"/>
          <w:kern w:val="0"/>
          <w:sz w:val="32"/>
          <w:szCs w:val="32"/>
        </w:rPr>
        <w:t>指中央财政安排的行政单位基本医疗保险缴费经费和公费医疗经费。</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（十一）住房保障支出（类）住房改革支出（款）住房公积金（项）：</w:t>
      </w:r>
      <w:r>
        <w:rPr>
          <w:rFonts w:ascii="仿宋_GB2312" w:eastAsia="仿宋_GB2312" w:hAnsi="Times New Roman" w:cs="仿宋_GB2312" w:hint="eastAsia"/>
          <w:kern w:val="0"/>
          <w:sz w:val="32"/>
          <w:szCs w:val="32"/>
        </w:rPr>
        <w:t>反映行政事业单位按人力资源和社会保障部、财政部规定的基本工资和津贴补贴以及规定比例为职工缴纳的住房公积金。</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（十二）灾害防治及应急管理（类）煤矿安全（款）行政运行（项）：</w:t>
      </w:r>
      <w:r w:rsidR="00384514">
        <w:rPr>
          <w:rFonts w:ascii="仿宋_GB2312" w:eastAsia="仿宋_GB2312" w:hAnsi="Times New Roman" w:cs="仿宋_GB2312" w:hint="eastAsia"/>
          <w:kern w:val="0"/>
          <w:sz w:val="32"/>
          <w:szCs w:val="32"/>
        </w:rPr>
        <w:t>指重庆</w:t>
      </w:r>
      <w:r>
        <w:rPr>
          <w:rFonts w:ascii="仿宋_GB2312" w:eastAsia="仿宋_GB2312" w:hAnsi="Times New Roman" w:cs="仿宋_GB2312" w:hint="eastAsia"/>
          <w:kern w:val="0"/>
          <w:sz w:val="32"/>
          <w:szCs w:val="32"/>
        </w:rPr>
        <w:t>煤矿安全监察局行政单位用于保障机构正常运行、开展日常工作的基本支出。</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（十三）灾害防治及应急管理（类）煤矿安全（款）一般行政管理事务（项）：</w:t>
      </w:r>
      <w:r w:rsidR="00384514">
        <w:rPr>
          <w:rFonts w:ascii="仿宋_GB2312" w:eastAsia="仿宋_GB2312" w:hAnsi="Times New Roman" w:cs="仿宋_GB2312" w:hint="eastAsia"/>
          <w:kern w:val="0"/>
          <w:sz w:val="32"/>
          <w:szCs w:val="32"/>
        </w:rPr>
        <w:t>指重庆</w:t>
      </w:r>
      <w:r>
        <w:rPr>
          <w:rFonts w:ascii="仿宋_GB2312" w:eastAsia="仿宋_GB2312" w:hAnsi="Times New Roman" w:cs="仿宋_GB2312" w:hint="eastAsia"/>
          <w:kern w:val="0"/>
          <w:sz w:val="32"/>
          <w:szCs w:val="32"/>
        </w:rPr>
        <w:t>煤矿安全监察局本级开展后勤服务、基本建设项目等项目支出。</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（十四）灾害防治及应急管理（类）煤矿安全（款）机关服务（项）：</w:t>
      </w:r>
      <w:r w:rsidR="00384514">
        <w:rPr>
          <w:rFonts w:ascii="仿宋_GB2312" w:eastAsia="仿宋_GB2312" w:hAnsi="Times New Roman" w:cs="仿宋_GB2312" w:hint="eastAsia"/>
          <w:kern w:val="0"/>
          <w:sz w:val="32"/>
          <w:szCs w:val="32"/>
        </w:rPr>
        <w:t>指重庆</w:t>
      </w:r>
      <w:r>
        <w:rPr>
          <w:rFonts w:ascii="仿宋_GB2312" w:eastAsia="仿宋_GB2312" w:hAnsi="Times New Roman" w:cs="仿宋_GB2312" w:hint="eastAsia"/>
          <w:kern w:val="0"/>
          <w:sz w:val="32"/>
          <w:szCs w:val="32"/>
        </w:rPr>
        <w:t>煤矿安全监察局机关服务中心为机关提供文件印制、办公楼日常维修维护等后勤保障服务的支出。</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（十五）灾害防治及应急管理（类）煤矿安全（款）煤矿安全监察事务（项）：</w:t>
      </w:r>
      <w:r w:rsidR="00384514">
        <w:rPr>
          <w:rFonts w:ascii="仿宋_GB2312" w:eastAsia="仿宋_GB2312" w:hAnsi="Times New Roman" w:cs="仿宋_GB2312" w:hint="eastAsia"/>
          <w:kern w:val="0"/>
          <w:sz w:val="32"/>
          <w:szCs w:val="32"/>
        </w:rPr>
        <w:t>指重庆</w:t>
      </w:r>
      <w:r>
        <w:rPr>
          <w:rFonts w:ascii="仿宋_GB2312" w:eastAsia="仿宋_GB2312" w:hAnsi="Times New Roman" w:cs="仿宋_GB2312" w:hint="eastAsia"/>
          <w:kern w:val="0"/>
          <w:sz w:val="32"/>
          <w:szCs w:val="32"/>
        </w:rPr>
        <w:t>煤矿安全监察局开展煤矿安全生产专项督查、明查暗访、政策制定、标准制定、业务培训等方面的项目支出。</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lastRenderedPageBreak/>
        <w:t>（十六）灾害防治及应急管理（类）煤矿安全（款）事业运行（项）：</w:t>
      </w:r>
      <w:r w:rsidR="00384514">
        <w:rPr>
          <w:rFonts w:ascii="仿宋_GB2312" w:eastAsia="仿宋_GB2312" w:hAnsi="Times New Roman" w:cs="仿宋_GB2312" w:hint="eastAsia"/>
          <w:kern w:val="0"/>
          <w:sz w:val="32"/>
          <w:szCs w:val="32"/>
        </w:rPr>
        <w:t>指重庆</w:t>
      </w:r>
      <w:r>
        <w:rPr>
          <w:rFonts w:ascii="仿宋_GB2312" w:eastAsia="仿宋_GB2312" w:hAnsi="Times New Roman" w:cs="仿宋_GB2312" w:hint="eastAsia"/>
          <w:kern w:val="0"/>
          <w:sz w:val="32"/>
          <w:szCs w:val="32"/>
        </w:rPr>
        <w:t>煤矿安全监察局所属事业单位（不含机关服务中心）用于保障机构正常运行、开展日常工作的基本支出。</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（十七）结余分配：</w:t>
      </w:r>
      <w:r>
        <w:rPr>
          <w:rFonts w:ascii="仿宋_GB2312" w:eastAsia="仿宋_GB2312" w:hAnsi="Times New Roman" w:cs="仿宋_GB2312" w:hint="eastAsia"/>
          <w:kern w:val="0"/>
          <w:sz w:val="32"/>
          <w:szCs w:val="32"/>
        </w:rPr>
        <w:t>指事业单位按照会计制度规定缴纳的所得税以及从非财政补助结余中提取的职工福利基金、事业基金等。</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（十八）年末结转和结余</w:t>
      </w:r>
      <w:r>
        <w:rPr>
          <w:rFonts w:ascii="仿宋_GB2312" w:eastAsia="仿宋_GB2312" w:hAnsi="Times New Roman" w:cs="仿宋_GB2312"/>
          <w:b/>
          <w:bCs/>
          <w:kern w:val="0"/>
          <w:sz w:val="32"/>
          <w:szCs w:val="32"/>
        </w:rPr>
        <w:t>:</w:t>
      </w:r>
      <w:r>
        <w:rPr>
          <w:rFonts w:ascii="仿宋_GB2312" w:eastAsia="仿宋_GB2312" w:hAnsi="Times New Roman" w:cs="仿宋_GB2312"/>
          <w:kern w:val="0"/>
          <w:sz w:val="32"/>
          <w:szCs w:val="32"/>
        </w:rPr>
        <w:t xml:space="preserve"> </w:t>
      </w:r>
      <w:r>
        <w:rPr>
          <w:rFonts w:ascii="仿宋_GB2312" w:eastAsia="仿宋_GB2312" w:hAnsi="Times New Roman" w:cs="仿宋_GB2312" w:hint="eastAsia"/>
          <w:kern w:val="0"/>
          <w:sz w:val="32"/>
          <w:szCs w:val="32"/>
        </w:rPr>
        <w:t>指单位本年度或以前年度预算安排、因客观条件发生变化未全部执行或未执行，结转到以后年度继续使用的资金，或项目已完成等产生的结余资金。</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（十九）基本支出：</w:t>
      </w:r>
      <w:r>
        <w:rPr>
          <w:rFonts w:ascii="仿宋_GB2312" w:eastAsia="仿宋_GB2312" w:hAnsi="Times New Roman" w:cs="仿宋_GB2312" w:hint="eastAsia"/>
          <w:kern w:val="0"/>
          <w:sz w:val="32"/>
          <w:szCs w:val="32"/>
        </w:rPr>
        <w:t>指为保障机构正常运转、完成日常工作任务而发生的人员支出和公用支出。</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（二十）项目支出：</w:t>
      </w:r>
      <w:r>
        <w:rPr>
          <w:rFonts w:ascii="仿宋_GB2312" w:eastAsia="仿宋_GB2312" w:hAnsi="Times New Roman" w:cs="仿宋_GB2312" w:hint="eastAsia"/>
          <w:kern w:val="0"/>
          <w:sz w:val="32"/>
          <w:szCs w:val="32"/>
        </w:rPr>
        <w:t>指在基本支出之外为完成特定行政任务和事业发展目标所发生的支出。</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t>（二十一）“三公”经费：</w:t>
      </w:r>
      <w:r>
        <w:rPr>
          <w:rFonts w:ascii="仿宋_GB2312" w:eastAsia="仿宋_GB2312" w:hAnsi="Times New Roman" w:cs="仿宋_GB2312" w:hint="eastAsia"/>
          <w:kern w:val="0"/>
          <w:sz w:val="32"/>
          <w:szCs w:val="32"/>
        </w:rPr>
        <w:t>纳入中央财政预决算管理的“三公”经费，是指中央部门用财政拨款安排的因公出国（境）费、公务用车购置及运行费和公务接待费，是党政机关维持运转或完成特定工作任务所开支的相关支出，是政府行政开支的一部分。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rsidR="004F38F0" w:rsidRDefault="009E4A05">
      <w:pPr>
        <w:autoSpaceDE w:val="0"/>
        <w:autoSpaceDN w:val="0"/>
        <w:adjustRightInd w:val="0"/>
        <w:spacing w:line="560" w:lineRule="exact"/>
        <w:ind w:firstLineChars="200" w:firstLine="643"/>
        <w:jc w:val="left"/>
        <w:rPr>
          <w:rFonts w:ascii="仿宋_GB2312" w:eastAsia="仿宋_GB2312" w:hAnsi="Times New Roman" w:cs="仿宋_GB2312"/>
          <w:kern w:val="0"/>
          <w:sz w:val="32"/>
          <w:szCs w:val="32"/>
        </w:rPr>
      </w:pPr>
      <w:r>
        <w:rPr>
          <w:rFonts w:ascii="仿宋_GB2312" w:eastAsia="仿宋_GB2312" w:hAnsi="Times New Roman" w:cs="仿宋_GB2312" w:hint="eastAsia"/>
          <w:b/>
          <w:bCs/>
          <w:kern w:val="0"/>
          <w:sz w:val="32"/>
          <w:szCs w:val="32"/>
        </w:rPr>
        <w:lastRenderedPageBreak/>
        <w:t>（二十二）机关运行经费：</w:t>
      </w:r>
      <w:r>
        <w:rPr>
          <w:rFonts w:ascii="仿宋_GB2312" w:eastAsia="仿宋_GB2312" w:hAnsi="Times New Roman" w:cs="仿宋_GB2312" w:hint="eastAsia"/>
          <w:kern w:val="0"/>
          <w:sz w:val="32"/>
          <w:szCs w:val="32"/>
        </w:rPr>
        <w:t>为保障行政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bookmarkStart w:id="0" w:name="_GoBack"/>
      <w:bookmarkEnd w:id="0"/>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p w:rsidR="004F38F0" w:rsidRDefault="004F38F0" w:rsidP="00384514">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p>
    <w:sectPr w:rsidR="004F38F0" w:rsidSect="00B7792C">
      <w:footerReference w:type="default" r:id="rId22"/>
      <w:pgSz w:w="11906" w:h="16838"/>
      <w:pgMar w:top="1984" w:right="1531" w:bottom="1497"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33" w:rsidRDefault="00454B33">
      <w:r>
        <w:separator/>
      </w:r>
    </w:p>
  </w:endnote>
  <w:endnote w:type="continuationSeparator" w:id="0">
    <w:p w:rsidR="00454B33" w:rsidRDefault="00454B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hakuyoxingshu7000"/>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05" w:rsidRDefault="00B7792C">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208.35pt;margin-top:-9.6pt;width:2in;height:2in;z-index:25165926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" filled="f" stroked="f">
          <v:textbox style="mso-fit-shape-to-text:t" inset="0,0,0,0">
            <w:txbxContent>
              <w:p w:rsidR="009E4A05" w:rsidRDefault="00B7792C">
                <w:pPr>
                  <w:pStyle w:val="a4"/>
                  <w:rPr>
                    <w:sz w:val="28"/>
                  </w:rPr>
                </w:pPr>
                <w:r>
                  <w:rPr>
                    <w:rFonts w:hint="eastAsia"/>
                    <w:sz w:val="28"/>
                  </w:rPr>
                  <w:fldChar w:fldCharType="begin"/>
                </w:r>
                <w:r w:rsidR="009E4A05">
                  <w:rPr>
                    <w:rFonts w:hint="eastAsia"/>
                    <w:sz w:val="28"/>
                  </w:rPr>
                  <w:instrText xml:space="preserve"> PAGE  \* MERGEFORMAT </w:instrText>
                </w:r>
                <w:r>
                  <w:rPr>
                    <w:rFonts w:hint="eastAsia"/>
                    <w:sz w:val="28"/>
                  </w:rPr>
                  <w:fldChar w:fldCharType="separate"/>
                </w:r>
                <w:r w:rsidR="00336A50">
                  <w:rPr>
                    <w:noProof/>
                    <w:sz w:val="28"/>
                  </w:rPr>
                  <w:t>- 23 -</w:t>
                </w:r>
                <w:r>
                  <w:rPr>
                    <w:rFonts w:hint="eastAsia"/>
                    <w:sz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33" w:rsidRDefault="00454B33">
      <w:r>
        <w:separator/>
      </w:r>
    </w:p>
  </w:footnote>
  <w:footnote w:type="continuationSeparator" w:id="0">
    <w:p w:rsidR="00454B33" w:rsidRDefault="00454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27162052"/>
    <w:multiLevelType w:val="hybridMultilevel"/>
    <w:tmpl w:val="6770BF62"/>
    <w:lvl w:ilvl="0" w:tplc="A9F0F5B0">
      <w:start w:val="1"/>
      <w:numFmt w:val="bullet"/>
      <w:lvlText w:val=""/>
      <w:lvlPicBulletId w:val="0"/>
      <w:lvlJc w:val="left"/>
      <w:pPr>
        <w:tabs>
          <w:tab w:val="num" w:pos="420"/>
        </w:tabs>
        <w:ind w:left="420" w:firstLine="0"/>
      </w:pPr>
      <w:rPr>
        <w:rFonts w:ascii="Symbol" w:hAnsi="Symbol" w:hint="default"/>
      </w:rPr>
    </w:lvl>
    <w:lvl w:ilvl="1" w:tplc="14C89E8A" w:tentative="1">
      <w:start w:val="1"/>
      <w:numFmt w:val="bullet"/>
      <w:lvlText w:val=""/>
      <w:lvlJc w:val="left"/>
      <w:pPr>
        <w:tabs>
          <w:tab w:val="num" w:pos="840"/>
        </w:tabs>
        <w:ind w:left="840" w:firstLine="0"/>
      </w:pPr>
      <w:rPr>
        <w:rFonts w:ascii="Symbol" w:hAnsi="Symbol" w:hint="default"/>
      </w:rPr>
    </w:lvl>
    <w:lvl w:ilvl="2" w:tplc="BC0C8DBC" w:tentative="1">
      <w:start w:val="1"/>
      <w:numFmt w:val="bullet"/>
      <w:lvlText w:val=""/>
      <w:lvlJc w:val="left"/>
      <w:pPr>
        <w:tabs>
          <w:tab w:val="num" w:pos="1260"/>
        </w:tabs>
        <w:ind w:left="1260" w:firstLine="0"/>
      </w:pPr>
      <w:rPr>
        <w:rFonts w:ascii="Symbol" w:hAnsi="Symbol" w:hint="default"/>
      </w:rPr>
    </w:lvl>
    <w:lvl w:ilvl="3" w:tplc="D60E7CFA" w:tentative="1">
      <w:start w:val="1"/>
      <w:numFmt w:val="bullet"/>
      <w:lvlText w:val=""/>
      <w:lvlJc w:val="left"/>
      <w:pPr>
        <w:tabs>
          <w:tab w:val="num" w:pos="1680"/>
        </w:tabs>
        <w:ind w:left="1680" w:firstLine="0"/>
      </w:pPr>
      <w:rPr>
        <w:rFonts w:ascii="Symbol" w:hAnsi="Symbol" w:hint="default"/>
      </w:rPr>
    </w:lvl>
    <w:lvl w:ilvl="4" w:tplc="01D22E64" w:tentative="1">
      <w:start w:val="1"/>
      <w:numFmt w:val="bullet"/>
      <w:lvlText w:val=""/>
      <w:lvlJc w:val="left"/>
      <w:pPr>
        <w:tabs>
          <w:tab w:val="num" w:pos="2100"/>
        </w:tabs>
        <w:ind w:left="2100" w:firstLine="0"/>
      </w:pPr>
      <w:rPr>
        <w:rFonts w:ascii="Symbol" w:hAnsi="Symbol" w:hint="default"/>
      </w:rPr>
    </w:lvl>
    <w:lvl w:ilvl="5" w:tplc="26D05FA6" w:tentative="1">
      <w:start w:val="1"/>
      <w:numFmt w:val="bullet"/>
      <w:lvlText w:val=""/>
      <w:lvlJc w:val="left"/>
      <w:pPr>
        <w:tabs>
          <w:tab w:val="num" w:pos="2520"/>
        </w:tabs>
        <w:ind w:left="2520" w:firstLine="0"/>
      </w:pPr>
      <w:rPr>
        <w:rFonts w:ascii="Symbol" w:hAnsi="Symbol" w:hint="default"/>
      </w:rPr>
    </w:lvl>
    <w:lvl w:ilvl="6" w:tplc="C032F01E" w:tentative="1">
      <w:start w:val="1"/>
      <w:numFmt w:val="bullet"/>
      <w:lvlText w:val=""/>
      <w:lvlJc w:val="left"/>
      <w:pPr>
        <w:tabs>
          <w:tab w:val="num" w:pos="2940"/>
        </w:tabs>
        <w:ind w:left="2940" w:firstLine="0"/>
      </w:pPr>
      <w:rPr>
        <w:rFonts w:ascii="Symbol" w:hAnsi="Symbol" w:hint="default"/>
      </w:rPr>
    </w:lvl>
    <w:lvl w:ilvl="7" w:tplc="3746E7BA" w:tentative="1">
      <w:start w:val="1"/>
      <w:numFmt w:val="bullet"/>
      <w:lvlText w:val=""/>
      <w:lvlJc w:val="left"/>
      <w:pPr>
        <w:tabs>
          <w:tab w:val="num" w:pos="3360"/>
        </w:tabs>
        <w:ind w:left="3360" w:firstLine="0"/>
      </w:pPr>
      <w:rPr>
        <w:rFonts w:ascii="Symbol" w:hAnsi="Symbol" w:hint="default"/>
      </w:rPr>
    </w:lvl>
    <w:lvl w:ilvl="8" w:tplc="735E3B38" w:tentative="1">
      <w:start w:val="1"/>
      <w:numFmt w:val="bullet"/>
      <w:lvlText w:val=""/>
      <w:lvlJc w:val="left"/>
      <w:pPr>
        <w:tabs>
          <w:tab w:val="num" w:pos="3780"/>
        </w:tabs>
        <w:ind w:left="3780" w:firstLine="0"/>
      </w:pPr>
      <w:rPr>
        <w:rFonts w:ascii="Symbol" w:hAnsi="Symbol" w:hint="default"/>
      </w:rPr>
    </w:lvl>
  </w:abstractNum>
  <w:abstractNum w:abstractNumId="1">
    <w:nsid w:val="43206D4D"/>
    <w:multiLevelType w:val="hybridMultilevel"/>
    <w:tmpl w:val="E4DAFBE4"/>
    <w:lvl w:ilvl="0" w:tplc="FD1A7C7E">
      <w:start w:val="1"/>
      <w:numFmt w:val="bullet"/>
      <w:lvlText w:val=""/>
      <w:lvlPicBulletId w:val="1"/>
      <w:lvlJc w:val="left"/>
      <w:pPr>
        <w:tabs>
          <w:tab w:val="num" w:pos="420"/>
        </w:tabs>
        <w:ind w:left="420" w:firstLine="0"/>
      </w:pPr>
      <w:rPr>
        <w:rFonts w:ascii="Symbol" w:hAnsi="Symbol" w:hint="default"/>
      </w:rPr>
    </w:lvl>
    <w:lvl w:ilvl="1" w:tplc="6592E910" w:tentative="1">
      <w:start w:val="1"/>
      <w:numFmt w:val="bullet"/>
      <w:lvlText w:val=""/>
      <w:lvlJc w:val="left"/>
      <w:pPr>
        <w:tabs>
          <w:tab w:val="num" w:pos="840"/>
        </w:tabs>
        <w:ind w:left="840" w:firstLine="0"/>
      </w:pPr>
      <w:rPr>
        <w:rFonts w:ascii="Symbol" w:hAnsi="Symbol" w:hint="default"/>
      </w:rPr>
    </w:lvl>
    <w:lvl w:ilvl="2" w:tplc="8BE8D5F0" w:tentative="1">
      <w:start w:val="1"/>
      <w:numFmt w:val="bullet"/>
      <w:lvlText w:val=""/>
      <w:lvlJc w:val="left"/>
      <w:pPr>
        <w:tabs>
          <w:tab w:val="num" w:pos="1260"/>
        </w:tabs>
        <w:ind w:left="1260" w:firstLine="0"/>
      </w:pPr>
      <w:rPr>
        <w:rFonts w:ascii="Symbol" w:hAnsi="Symbol" w:hint="default"/>
      </w:rPr>
    </w:lvl>
    <w:lvl w:ilvl="3" w:tplc="FDAC57F2" w:tentative="1">
      <w:start w:val="1"/>
      <w:numFmt w:val="bullet"/>
      <w:lvlText w:val=""/>
      <w:lvlJc w:val="left"/>
      <w:pPr>
        <w:tabs>
          <w:tab w:val="num" w:pos="1680"/>
        </w:tabs>
        <w:ind w:left="1680" w:firstLine="0"/>
      </w:pPr>
      <w:rPr>
        <w:rFonts w:ascii="Symbol" w:hAnsi="Symbol" w:hint="default"/>
      </w:rPr>
    </w:lvl>
    <w:lvl w:ilvl="4" w:tplc="33B4F41E" w:tentative="1">
      <w:start w:val="1"/>
      <w:numFmt w:val="bullet"/>
      <w:lvlText w:val=""/>
      <w:lvlJc w:val="left"/>
      <w:pPr>
        <w:tabs>
          <w:tab w:val="num" w:pos="2100"/>
        </w:tabs>
        <w:ind w:left="2100" w:firstLine="0"/>
      </w:pPr>
      <w:rPr>
        <w:rFonts w:ascii="Symbol" w:hAnsi="Symbol" w:hint="default"/>
      </w:rPr>
    </w:lvl>
    <w:lvl w:ilvl="5" w:tplc="A7029400" w:tentative="1">
      <w:start w:val="1"/>
      <w:numFmt w:val="bullet"/>
      <w:lvlText w:val=""/>
      <w:lvlJc w:val="left"/>
      <w:pPr>
        <w:tabs>
          <w:tab w:val="num" w:pos="2520"/>
        </w:tabs>
        <w:ind w:left="2520" w:firstLine="0"/>
      </w:pPr>
      <w:rPr>
        <w:rFonts w:ascii="Symbol" w:hAnsi="Symbol" w:hint="default"/>
      </w:rPr>
    </w:lvl>
    <w:lvl w:ilvl="6" w:tplc="6D48F5B2" w:tentative="1">
      <w:start w:val="1"/>
      <w:numFmt w:val="bullet"/>
      <w:lvlText w:val=""/>
      <w:lvlJc w:val="left"/>
      <w:pPr>
        <w:tabs>
          <w:tab w:val="num" w:pos="2940"/>
        </w:tabs>
        <w:ind w:left="2940" w:firstLine="0"/>
      </w:pPr>
      <w:rPr>
        <w:rFonts w:ascii="Symbol" w:hAnsi="Symbol" w:hint="default"/>
      </w:rPr>
    </w:lvl>
    <w:lvl w:ilvl="7" w:tplc="5B66B04C" w:tentative="1">
      <w:start w:val="1"/>
      <w:numFmt w:val="bullet"/>
      <w:lvlText w:val=""/>
      <w:lvlJc w:val="left"/>
      <w:pPr>
        <w:tabs>
          <w:tab w:val="num" w:pos="3360"/>
        </w:tabs>
        <w:ind w:left="3360" w:firstLine="0"/>
      </w:pPr>
      <w:rPr>
        <w:rFonts w:ascii="Symbol" w:hAnsi="Symbol" w:hint="default"/>
      </w:rPr>
    </w:lvl>
    <w:lvl w:ilvl="8" w:tplc="C764FA24"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0D0"/>
    <w:rsid w:val="00001039"/>
    <w:rsid w:val="00003A99"/>
    <w:rsid w:val="000174B1"/>
    <w:rsid w:val="0002089E"/>
    <w:rsid w:val="0004256C"/>
    <w:rsid w:val="000440A7"/>
    <w:rsid w:val="0005760E"/>
    <w:rsid w:val="00062151"/>
    <w:rsid w:val="00073087"/>
    <w:rsid w:val="00074D0C"/>
    <w:rsid w:val="000A399A"/>
    <w:rsid w:val="000A48F2"/>
    <w:rsid w:val="000C14D3"/>
    <w:rsid w:val="000D0F22"/>
    <w:rsid w:val="001001FE"/>
    <w:rsid w:val="0011241A"/>
    <w:rsid w:val="001178DC"/>
    <w:rsid w:val="00121C7A"/>
    <w:rsid w:val="001253B2"/>
    <w:rsid w:val="00160D83"/>
    <w:rsid w:val="00161B84"/>
    <w:rsid w:val="00164DE5"/>
    <w:rsid w:val="00171B2E"/>
    <w:rsid w:val="00172A27"/>
    <w:rsid w:val="00172F6A"/>
    <w:rsid w:val="00176145"/>
    <w:rsid w:val="00195716"/>
    <w:rsid w:val="001A1513"/>
    <w:rsid w:val="001A30AE"/>
    <w:rsid w:val="001A5589"/>
    <w:rsid w:val="001A66C6"/>
    <w:rsid w:val="001B3078"/>
    <w:rsid w:val="001B37C6"/>
    <w:rsid w:val="001C5746"/>
    <w:rsid w:val="001D0085"/>
    <w:rsid w:val="001D067A"/>
    <w:rsid w:val="001E0F0D"/>
    <w:rsid w:val="001E773B"/>
    <w:rsid w:val="001F554F"/>
    <w:rsid w:val="0020194C"/>
    <w:rsid w:val="002112C8"/>
    <w:rsid w:val="00222C95"/>
    <w:rsid w:val="0023228A"/>
    <w:rsid w:val="002461E7"/>
    <w:rsid w:val="00253CAD"/>
    <w:rsid w:val="002611DF"/>
    <w:rsid w:val="00271F61"/>
    <w:rsid w:val="00296CFB"/>
    <w:rsid w:val="002A11DD"/>
    <w:rsid w:val="002B1F23"/>
    <w:rsid w:val="002B440A"/>
    <w:rsid w:val="002B5F4B"/>
    <w:rsid w:val="002E46EF"/>
    <w:rsid w:val="002E4F54"/>
    <w:rsid w:val="002E5C54"/>
    <w:rsid w:val="002F092C"/>
    <w:rsid w:val="00303359"/>
    <w:rsid w:val="003162E2"/>
    <w:rsid w:val="00321BC8"/>
    <w:rsid w:val="00333616"/>
    <w:rsid w:val="00336A50"/>
    <w:rsid w:val="00337438"/>
    <w:rsid w:val="0034023A"/>
    <w:rsid w:val="00342F9D"/>
    <w:rsid w:val="00351F65"/>
    <w:rsid w:val="003702BE"/>
    <w:rsid w:val="00373A07"/>
    <w:rsid w:val="00384514"/>
    <w:rsid w:val="00390941"/>
    <w:rsid w:val="003A2C07"/>
    <w:rsid w:val="003A32BF"/>
    <w:rsid w:val="003A3F37"/>
    <w:rsid w:val="003A5137"/>
    <w:rsid w:val="003B1557"/>
    <w:rsid w:val="003B18BF"/>
    <w:rsid w:val="003B3497"/>
    <w:rsid w:val="003B7AE0"/>
    <w:rsid w:val="003C7576"/>
    <w:rsid w:val="003D3AC6"/>
    <w:rsid w:val="003D4484"/>
    <w:rsid w:val="003D60DA"/>
    <w:rsid w:val="003E1AB0"/>
    <w:rsid w:val="003F73F8"/>
    <w:rsid w:val="00405049"/>
    <w:rsid w:val="0041128F"/>
    <w:rsid w:val="00422B7B"/>
    <w:rsid w:val="0043097F"/>
    <w:rsid w:val="00430D1F"/>
    <w:rsid w:val="004504E7"/>
    <w:rsid w:val="00454B33"/>
    <w:rsid w:val="00474DAF"/>
    <w:rsid w:val="00475482"/>
    <w:rsid w:val="00481A5C"/>
    <w:rsid w:val="00487EAB"/>
    <w:rsid w:val="0049043D"/>
    <w:rsid w:val="004B31DE"/>
    <w:rsid w:val="004C746A"/>
    <w:rsid w:val="004C7E93"/>
    <w:rsid w:val="004D7D37"/>
    <w:rsid w:val="004F38F0"/>
    <w:rsid w:val="004F4A18"/>
    <w:rsid w:val="004F7BB6"/>
    <w:rsid w:val="005177FD"/>
    <w:rsid w:val="0052095D"/>
    <w:rsid w:val="00520E1A"/>
    <w:rsid w:val="00522415"/>
    <w:rsid w:val="00523981"/>
    <w:rsid w:val="005446EC"/>
    <w:rsid w:val="00545527"/>
    <w:rsid w:val="00546DAF"/>
    <w:rsid w:val="005504EA"/>
    <w:rsid w:val="005673E7"/>
    <w:rsid w:val="005749E6"/>
    <w:rsid w:val="00582804"/>
    <w:rsid w:val="005B1FFB"/>
    <w:rsid w:val="005C4883"/>
    <w:rsid w:val="005D66E9"/>
    <w:rsid w:val="005D68C9"/>
    <w:rsid w:val="005E12CD"/>
    <w:rsid w:val="005E7C56"/>
    <w:rsid w:val="005F3D79"/>
    <w:rsid w:val="00603389"/>
    <w:rsid w:val="006178F6"/>
    <w:rsid w:val="00623471"/>
    <w:rsid w:val="006336E7"/>
    <w:rsid w:val="00633D0D"/>
    <w:rsid w:val="0066493B"/>
    <w:rsid w:val="00667234"/>
    <w:rsid w:val="0066793C"/>
    <w:rsid w:val="006740C9"/>
    <w:rsid w:val="00681080"/>
    <w:rsid w:val="0068129B"/>
    <w:rsid w:val="00683FEA"/>
    <w:rsid w:val="00684754"/>
    <w:rsid w:val="006A2479"/>
    <w:rsid w:val="006E0A6B"/>
    <w:rsid w:val="00726469"/>
    <w:rsid w:val="0073108C"/>
    <w:rsid w:val="00736729"/>
    <w:rsid w:val="00746953"/>
    <w:rsid w:val="007525A8"/>
    <w:rsid w:val="00770A0C"/>
    <w:rsid w:val="007863E9"/>
    <w:rsid w:val="007866F6"/>
    <w:rsid w:val="00790C59"/>
    <w:rsid w:val="007946D0"/>
    <w:rsid w:val="007A42B8"/>
    <w:rsid w:val="007B2B72"/>
    <w:rsid w:val="007B7056"/>
    <w:rsid w:val="007D2E02"/>
    <w:rsid w:val="007D4029"/>
    <w:rsid w:val="007E7C38"/>
    <w:rsid w:val="007F6411"/>
    <w:rsid w:val="007F69F0"/>
    <w:rsid w:val="00810273"/>
    <w:rsid w:val="008103C1"/>
    <w:rsid w:val="0081484E"/>
    <w:rsid w:val="00815C26"/>
    <w:rsid w:val="00816B68"/>
    <w:rsid w:val="00823A4E"/>
    <w:rsid w:val="00833772"/>
    <w:rsid w:val="00846BED"/>
    <w:rsid w:val="00860249"/>
    <w:rsid w:val="0086358B"/>
    <w:rsid w:val="00886ECF"/>
    <w:rsid w:val="00894342"/>
    <w:rsid w:val="008968EC"/>
    <w:rsid w:val="00897570"/>
    <w:rsid w:val="008A5746"/>
    <w:rsid w:val="008B0C34"/>
    <w:rsid w:val="008C43EE"/>
    <w:rsid w:val="008C672B"/>
    <w:rsid w:val="008E59C2"/>
    <w:rsid w:val="008E739C"/>
    <w:rsid w:val="00900DBC"/>
    <w:rsid w:val="00904810"/>
    <w:rsid w:val="00916E91"/>
    <w:rsid w:val="00920FEC"/>
    <w:rsid w:val="0092738C"/>
    <w:rsid w:val="00933D8D"/>
    <w:rsid w:val="00947F53"/>
    <w:rsid w:val="00975916"/>
    <w:rsid w:val="00976C00"/>
    <w:rsid w:val="00984B4A"/>
    <w:rsid w:val="009873C0"/>
    <w:rsid w:val="009A55A8"/>
    <w:rsid w:val="009A7751"/>
    <w:rsid w:val="009B32BE"/>
    <w:rsid w:val="009B4553"/>
    <w:rsid w:val="009C1CC0"/>
    <w:rsid w:val="009D59C2"/>
    <w:rsid w:val="009E0C45"/>
    <w:rsid w:val="009E2E21"/>
    <w:rsid w:val="009E3F9C"/>
    <w:rsid w:val="009E4A05"/>
    <w:rsid w:val="009E51F2"/>
    <w:rsid w:val="009E7366"/>
    <w:rsid w:val="00A060DC"/>
    <w:rsid w:val="00A1143D"/>
    <w:rsid w:val="00A20E58"/>
    <w:rsid w:val="00A37D70"/>
    <w:rsid w:val="00A40DE9"/>
    <w:rsid w:val="00A41949"/>
    <w:rsid w:val="00A425AE"/>
    <w:rsid w:val="00A44DC1"/>
    <w:rsid w:val="00A55CF3"/>
    <w:rsid w:val="00A63F7E"/>
    <w:rsid w:val="00A65DE4"/>
    <w:rsid w:val="00A67766"/>
    <w:rsid w:val="00A753E0"/>
    <w:rsid w:val="00A773ED"/>
    <w:rsid w:val="00A77CEE"/>
    <w:rsid w:val="00A8211B"/>
    <w:rsid w:val="00A84F13"/>
    <w:rsid w:val="00A901F4"/>
    <w:rsid w:val="00A904F0"/>
    <w:rsid w:val="00A91A9F"/>
    <w:rsid w:val="00A9316C"/>
    <w:rsid w:val="00AA6AB4"/>
    <w:rsid w:val="00AB4838"/>
    <w:rsid w:val="00AB6077"/>
    <w:rsid w:val="00AB76A0"/>
    <w:rsid w:val="00AC58C0"/>
    <w:rsid w:val="00AC5CE7"/>
    <w:rsid w:val="00AC5D56"/>
    <w:rsid w:val="00AC5E86"/>
    <w:rsid w:val="00AC6956"/>
    <w:rsid w:val="00AD13A5"/>
    <w:rsid w:val="00AD2B04"/>
    <w:rsid w:val="00AD3459"/>
    <w:rsid w:val="00AF5D0E"/>
    <w:rsid w:val="00B15FB0"/>
    <w:rsid w:val="00B21CFC"/>
    <w:rsid w:val="00B24474"/>
    <w:rsid w:val="00B32324"/>
    <w:rsid w:val="00B438D5"/>
    <w:rsid w:val="00B62619"/>
    <w:rsid w:val="00B71C16"/>
    <w:rsid w:val="00B7792C"/>
    <w:rsid w:val="00B80365"/>
    <w:rsid w:val="00B828FB"/>
    <w:rsid w:val="00BA0D88"/>
    <w:rsid w:val="00BB4A3C"/>
    <w:rsid w:val="00BC3329"/>
    <w:rsid w:val="00BD2640"/>
    <w:rsid w:val="00BE125E"/>
    <w:rsid w:val="00BF039C"/>
    <w:rsid w:val="00BF4C85"/>
    <w:rsid w:val="00C04F60"/>
    <w:rsid w:val="00C15DE1"/>
    <w:rsid w:val="00C37284"/>
    <w:rsid w:val="00C437B7"/>
    <w:rsid w:val="00C50B05"/>
    <w:rsid w:val="00C60DB5"/>
    <w:rsid w:val="00C6783A"/>
    <w:rsid w:val="00C9255F"/>
    <w:rsid w:val="00CA4B90"/>
    <w:rsid w:val="00CA5BEB"/>
    <w:rsid w:val="00CC4E65"/>
    <w:rsid w:val="00CC6405"/>
    <w:rsid w:val="00CC6774"/>
    <w:rsid w:val="00CD566E"/>
    <w:rsid w:val="00CE5E8D"/>
    <w:rsid w:val="00D00143"/>
    <w:rsid w:val="00D10369"/>
    <w:rsid w:val="00D15481"/>
    <w:rsid w:val="00D17443"/>
    <w:rsid w:val="00D17E9D"/>
    <w:rsid w:val="00D326F0"/>
    <w:rsid w:val="00D45715"/>
    <w:rsid w:val="00D4789F"/>
    <w:rsid w:val="00D66227"/>
    <w:rsid w:val="00D67572"/>
    <w:rsid w:val="00D73156"/>
    <w:rsid w:val="00D8324C"/>
    <w:rsid w:val="00D84E81"/>
    <w:rsid w:val="00D85BCF"/>
    <w:rsid w:val="00DA0F40"/>
    <w:rsid w:val="00DA6D27"/>
    <w:rsid w:val="00DA6E4F"/>
    <w:rsid w:val="00DB25C5"/>
    <w:rsid w:val="00DC7CF2"/>
    <w:rsid w:val="00DD2E23"/>
    <w:rsid w:val="00DE1135"/>
    <w:rsid w:val="00DE3640"/>
    <w:rsid w:val="00E11E69"/>
    <w:rsid w:val="00E12206"/>
    <w:rsid w:val="00E164A5"/>
    <w:rsid w:val="00E34D38"/>
    <w:rsid w:val="00E34E18"/>
    <w:rsid w:val="00E43711"/>
    <w:rsid w:val="00E60AF4"/>
    <w:rsid w:val="00E70A0F"/>
    <w:rsid w:val="00E72429"/>
    <w:rsid w:val="00E855B6"/>
    <w:rsid w:val="00E93094"/>
    <w:rsid w:val="00E961E6"/>
    <w:rsid w:val="00EB35EF"/>
    <w:rsid w:val="00EC7C83"/>
    <w:rsid w:val="00ED22E1"/>
    <w:rsid w:val="00EE1612"/>
    <w:rsid w:val="00EE26DD"/>
    <w:rsid w:val="00EE3807"/>
    <w:rsid w:val="00EF1338"/>
    <w:rsid w:val="00F226FB"/>
    <w:rsid w:val="00F2632F"/>
    <w:rsid w:val="00F41C22"/>
    <w:rsid w:val="00F5319A"/>
    <w:rsid w:val="00F622A7"/>
    <w:rsid w:val="00F62890"/>
    <w:rsid w:val="00F65FA1"/>
    <w:rsid w:val="00F743F1"/>
    <w:rsid w:val="00F939B1"/>
    <w:rsid w:val="00F9626E"/>
    <w:rsid w:val="00F97870"/>
    <w:rsid w:val="00FB513C"/>
    <w:rsid w:val="00FB7A4A"/>
    <w:rsid w:val="00FC0806"/>
    <w:rsid w:val="00FC3220"/>
    <w:rsid w:val="00FD0901"/>
    <w:rsid w:val="00FE13B7"/>
    <w:rsid w:val="00FE60B6"/>
    <w:rsid w:val="00FE7F71"/>
    <w:rsid w:val="00FF05E7"/>
    <w:rsid w:val="00FF5C2B"/>
    <w:rsid w:val="014E46FD"/>
    <w:rsid w:val="04642EEE"/>
    <w:rsid w:val="05E6205B"/>
    <w:rsid w:val="076F6024"/>
    <w:rsid w:val="081D076E"/>
    <w:rsid w:val="09484BFF"/>
    <w:rsid w:val="0A3A726E"/>
    <w:rsid w:val="111C606C"/>
    <w:rsid w:val="117F6F4D"/>
    <w:rsid w:val="11C3387C"/>
    <w:rsid w:val="12CB1D57"/>
    <w:rsid w:val="159457A0"/>
    <w:rsid w:val="1A4525C5"/>
    <w:rsid w:val="1C120B94"/>
    <w:rsid w:val="1C5D742C"/>
    <w:rsid w:val="1D8058C6"/>
    <w:rsid w:val="1E195A07"/>
    <w:rsid w:val="22EA3D7B"/>
    <w:rsid w:val="250E27AC"/>
    <w:rsid w:val="2A10027A"/>
    <w:rsid w:val="2F502E21"/>
    <w:rsid w:val="33601C6D"/>
    <w:rsid w:val="357065D7"/>
    <w:rsid w:val="36F92A13"/>
    <w:rsid w:val="3B4409B7"/>
    <w:rsid w:val="3C251A36"/>
    <w:rsid w:val="3EC029BE"/>
    <w:rsid w:val="42A82D5C"/>
    <w:rsid w:val="44443EB5"/>
    <w:rsid w:val="4A587821"/>
    <w:rsid w:val="4C665C89"/>
    <w:rsid w:val="55231DA1"/>
    <w:rsid w:val="56F00DBA"/>
    <w:rsid w:val="5B5D6885"/>
    <w:rsid w:val="5ED34D4F"/>
    <w:rsid w:val="5FE40250"/>
    <w:rsid w:val="63F26E0D"/>
    <w:rsid w:val="6B2F0C95"/>
    <w:rsid w:val="6BC87381"/>
    <w:rsid w:val="6F081948"/>
    <w:rsid w:val="749A0EB1"/>
    <w:rsid w:val="77C22AC5"/>
    <w:rsid w:val="7BA60D61"/>
    <w:rsid w:val="7BF47DDC"/>
    <w:rsid w:val="7CC22C5A"/>
    <w:rsid w:val="7EA930D4"/>
    <w:rsid w:val="7EA96C28"/>
    <w:rsid w:val="7EF73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semiHidden="0" w:uiPriority="29" w:unhideWhenUsed="0" w:qFormat="1"/>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16"/>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B7792C"/>
    <w:pPr>
      <w:keepNext/>
      <w:keepLines/>
      <w:widowControl/>
      <w:spacing w:before="480" w:line="276" w:lineRule="auto"/>
      <w:jc w:val="left"/>
      <w:outlineLvl w:val="0"/>
    </w:pPr>
    <w:rPr>
      <w:rFonts w:asciiTheme="majorHAnsi" w:eastAsiaTheme="majorEastAsia" w:hAnsiTheme="majorHAnsi" w:cstheme="majorBidi"/>
      <w:b/>
      <w:bCs/>
      <w:color w:val="2E74B5" w:themeColor="accent1" w:themeShade="BF"/>
      <w:kern w:val="0"/>
      <w:sz w:val="28"/>
      <w:szCs w:val="28"/>
    </w:rPr>
  </w:style>
  <w:style w:type="paragraph" w:styleId="2">
    <w:name w:val="heading 2"/>
    <w:basedOn w:val="a"/>
    <w:next w:val="a"/>
    <w:link w:val="2Char"/>
    <w:unhideWhenUsed/>
    <w:qFormat/>
    <w:rsid w:val="00B779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7792C"/>
    <w:rPr>
      <w:sz w:val="18"/>
      <w:szCs w:val="18"/>
    </w:rPr>
  </w:style>
  <w:style w:type="paragraph" w:styleId="a4">
    <w:name w:val="footer"/>
    <w:basedOn w:val="a"/>
    <w:link w:val="Char0"/>
    <w:qFormat/>
    <w:rsid w:val="00B7792C"/>
    <w:pPr>
      <w:tabs>
        <w:tab w:val="center" w:pos="4153"/>
        <w:tab w:val="right" w:pos="8306"/>
      </w:tabs>
      <w:snapToGrid w:val="0"/>
      <w:jc w:val="left"/>
    </w:pPr>
    <w:rPr>
      <w:sz w:val="18"/>
      <w:szCs w:val="18"/>
    </w:rPr>
  </w:style>
  <w:style w:type="paragraph" w:styleId="a5">
    <w:name w:val="header"/>
    <w:basedOn w:val="a"/>
    <w:link w:val="Char1"/>
    <w:qFormat/>
    <w:rsid w:val="00B7792C"/>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B779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B7792C"/>
    <w:rPr>
      <w:color w:val="0563C1" w:themeColor="hyperlink"/>
      <w:u w:val="single"/>
    </w:rPr>
  </w:style>
  <w:style w:type="character" w:customStyle="1" w:styleId="Char1">
    <w:name w:val="页眉 Char"/>
    <w:basedOn w:val="a0"/>
    <w:link w:val="a5"/>
    <w:qFormat/>
    <w:rsid w:val="00B7792C"/>
    <w:rPr>
      <w:kern w:val="2"/>
      <w:sz w:val="18"/>
      <w:szCs w:val="18"/>
    </w:rPr>
  </w:style>
  <w:style w:type="character" w:customStyle="1" w:styleId="Char0">
    <w:name w:val="页脚 Char"/>
    <w:basedOn w:val="a0"/>
    <w:link w:val="a4"/>
    <w:qFormat/>
    <w:rsid w:val="00B7792C"/>
    <w:rPr>
      <w:kern w:val="2"/>
      <w:sz w:val="18"/>
      <w:szCs w:val="18"/>
    </w:rPr>
  </w:style>
  <w:style w:type="character" w:customStyle="1" w:styleId="Char">
    <w:name w:val="批注框文本 Char"/>
    <w:basedOn w:val="a0"/>
    <w:link w:val="a3"/>
    <w:qFormat/>
    <w:rsid w:val="00B7792C"/>
    <w:rPr>
      <w:kern w:val="2"/>
      <w:sz w:val="18"/>
      <w:szCs w:val="18"/>
    </w:rPr>
  </w:style>
  <w:style w:type="paragraph" w:styleId="a8">
    <w:name w:val="Quote"/>
    <w:basedOn w:val="a"/>
    <w:next w:val="a"/>
    <w:link w:val="Char2"/>
    <w:uiPriority w:val="29"/>
    <w:qFormat/>
    <w:rsid w:val="00B7792C"/>
    <w:pPr>
      <w:widowControl/>
      <w:spacing w:after="200" w:line="276" w:lineRule="auto"/>
      <w:jc w:val="left"/>
    </w:pPr>
    <w:rPr>
      <w:i/>
      <w:iCs/>
      <w:color w:val="000000" w:themeColor="text1"/>
      <w:kern w:val="0"/>
      <w:sz w:val="22"/>
      <w:szCs w:val="22"/>
    </w:rPr>
  </w:style>
  <w:style w:type="character" w:customStyle="1" w:styleId="Char2">
    <w:name w:val="引用 Char"/>
    <w:basedOn w:val="a0"/>
    <w:link w:val="a8"/>
    <w:uiPriority w:val="29"/>
    <w:qFormat/>
    <w:rsid w:val="00B7792C"/>
    <w:rPr>
      <w:i/>
      <w:iCs/>
      <w:color w:val="000000" w:themeColor="text1"/>
      <w:sz w:val="22"/>
      <w:szCs w:val="22"/>
    </w:rPr>
  </w:style>
  <w:style w:type="paragraph" w:styleId="a9">
    <w:name w:val="List Paragraph"/>
    <w:basedOn w:val="a"/>
    <w:uiPriority w:val="99"/>
    <w:unhideWhenUsed/>
    <w:qFormat/>
    <w:rsid w:val="00B7792C"/>
    <w:pPr>
      <w:ind w:firstLineChars="200" w:firstLine="420"/>
    </w:pPr>
  </w:style>
  <w:style w:type="paragraph" w:customStyle="1" w:styleId="Default">
    <w:name w:val="Default"/>
    <w:qFormat/>
    <w:rsid w:val="00B7792C"/>
    <w:pPr>
      <w:widowControl w:val="0"/>
      <w:autoSpaceDE w:val="0"/>
      <w:autoSpaceDN w:val="0"/>
      <w:adjustRightInd w:val="0"/>
    </w:pPr>
    <w:rPr>
      <w:rFonts w:eastAsiaTheme="minorEastAsia"/>
      <w:color w:val="000000"/>
      <w:sz w:val="24"/>
      <w:szCs w:val="24"/>
    </w:rPr>
  </w:style>
  <w:style w:type="character" w:customStyle="1" w:styleId="2Char">
    <w:name w:val="标题 2 Char"/>
    <w:basedOn w:val="a0"/>
    <w:link w:val="2"/>
    <w:qFormat/>
    <w:rsid w:val="00B7792C"/>
    <w:rPr>
      <w:rFonts w:asciiTheme="majorHAnsi" w:eastAsiaTheme="majorEastAsia" w:hAnsiTheme="majorHAnsi" w:cstheme="majorBidi"/>
      <w:b/>
      <w:bCs/>
      <w:kern w:val="2"/>
      <w:sz w:val="32"/>
      <w:szCs w:val="32"/>
    </w:rPr>
  </w:style>
  <w:style w:type="character" w:customStyle="1" w:styleId="1Char">
    <w:name w:val="标题 1 Char"/>
    <w:basedOn w:val="a0"/>
    <w:link w:val="1"/>
    <w:uiPriority w:val="9"/>
    <w:qFormat/>
    <w:rsid w:val="00B7792C"/>
    <w:rPr>
      <w:rFonts w:asciiTheme="majorHAnsi" w:eastAsiaTheme="majorEastAsia" w:hAnsiTheme="majorHAnsi" w:cstheme="majorBidi"/>
      <w:b/>
      <w:bCs/>
      <w:color w:val="2E74B5" w:themeColor="accent1" w:themeShade="BF"/>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B7792C"/>
    <w:pPr>
      <w:widowControl/>
      <w:spacing w:after="160" w:line="240" w:lineRule="exact"/>
      <w:jc w:val="left"/>
    </w:pPr>
    <w:rPr>
      <w:rFonts w:ascii="Verdana" w:eastAsia="仿宋_GB2312" w:hAnsi="Verdana" w:cs="Times New Roman"/>
      <w:kern w:val="0"/>
      <w:sz w:val="24"/>
      <w:szCs w:val="20"/>
      <w:lang w:eastAsia="en-US"/>
    </w:rPr>
  </w:style>
  <w:style w:type="paragraph" w:customStyle="1" w:styleId="aa">
    <w:name w:val="公文二级标题"/>
    <w:basedOn w:val="a"/>
    <w:qFormat/>
    <w:rsid w:val="00726469"/>
    <w:pPr>
      <w:spacing w:line="360" w:lineRule="auto"/>
      <w:ind w:firstLineChars="200" w:firstLine="600"/>
      <w:outlineLvl w:val="1"/>
    </w:pPr>
    <w:rPr>
      <w:rFonts w:ascii="楷体" w:eastAsia="楷体" w:hAnsi="楷体" w:cs="Times New Roman"/>
      <w:b/>
      <w:sz w:val="30"/>
      <w:szCs w:val="30"/>
    </w:rPr>
  </w:style>
</w:styles>
</file>

<file path=word/webSettings.xml><?xml version="1.0" encoding="utf-8"?>
<w:webSettings xmlns:r="http://schemas.openxmlformats.org/officeDocument/2006/relationships" xmlns:w="http://schemas.openxmlformats.org/wordprocessingml/2006/main">
  <w:divs>
    <w:div w:id="74977835">
      <w:bodyDiv w:val="1"/>
      <w:marLeft w:val="0"/>
      <w:marRight w:val="0"/>
      <w:marTop w:val="0"/>
      <w:marBottom w:val="0"/>
      <w:divBdr>
        <w:top w:val="none" w:sz="0" w:space="0" w:color="auto"/>
        <w:left w:val="none" w:sz="0" w:space="0" w:color="auto"/>
        <w:bottom w:val="none" w:sz="0" w:space="0" w:color="auto"/>
        <w:right w:val="none" w:sz="0" w:space="0" w:color="auto"/>
      </w:divBdr>
    </w:div>
    <w:div w:id="163280346">
      <w:bodyDiv w:val="1"/>
      <w:marLeft w:val="0"/>
      <w:marRight w:val="0"/>
      <w:marTop w:val="0"/>
      <w:marBottom w:val="0"/>
      <w:divBdr>
        <w:top w:val="none" w:sz="0" w:space="0" w:color="auto"/>
        <w:left w:val="none" w:sz="0" w:space="0" w:color="auto"/>
        <w:bottom w:val="none" w:sz="0" w:space="0" w:color="auto"/>
        <w:right w:val="none" w:sz="0" w:space="0" w:color="auto"/>
      </w:divBdr>
    </w:div>
    <w:div w:id="196240940">
      <w:bodyDiv w:val="1"/>
      <w:marLeft w:val="0"/>
      <w:marRight w:val="0"/>
      <w:marTop w:val="0"/>
      <w:marBottom w:val="0"/>
      <w:divBdr>
        <w:top w:val="none" w:sz="0" w:space="0" w:color="auto"/>
        <w:left w:val="none" w:sz="0" w:space="0" w:color="auto"/>
        <w:bottom w:val="none" w:sz="0" w:space="0" w:color="auto"/>
        <w:right w:val="none" w:sz="0" w:space="0" w:color="auto"/>
      </w:divBdr>
    </w:div>
    <w:div w:id="1345205005">
      <w:bodyDiv w:val="1"/>
      <w:marLeft w:val="0"/>
      <w:marRight w:val="0"/>
      <w:marTop w:val="0"/>
      <w:marBottom w:val="0"/>
      <w:divBdr>
        <w:top w:val="none" w:sz="0" w:space="0" w:color="auto"/>
        <w:left w:val="none" w:sz="0" w:space="0" w:color="auto"/>
        <w:bottom w:val="none" w:sz="0" w:space="0" w:color="auto"/>
        <w:right w:val="none" w:sz="0" w:space="0" w:color="auto"/>
      </w:divBdr>
    </w:div>
    <w:div w:id="1859806706">
      <w:bodyDiv w:val="1"/>
      <w:marLeft w:val="0"/>
      <w:marRight w:val="0"/>
      <w:marTop w:val="0"/>
      <w:marBottom w:val="0"/>
      <w:divBdr>
        <w:top w:val="none" w:sz="0" w:space="0" w:color="auto"/>
        <w:left w:val="none" w:sz="0" w:space="0" w:color="auto"/>
        <w:bottom w:val="none" w:sz="0" w:space="0" w:color="auto"/>
        <w:right w:val="none" w:sz="0" w:space="0" w:color="auto"/>
      </w:divBdr>
    </w:div>
    <w:div w:id="2099398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94AE5B7-422B-4E41-9363-9F73C94DD595}" type="doc">
      <dgm:prSet loTypeId="urn:microsoft.com/office/officeart/2005/8/layout/hierarchy1#1" loCatId="hierarchy" qsTypeId="urn:microsoft.com/office/officeart/2005/8/quickstyle/simple1#1" qsCatId="simple" csTypeId="urn:microsoft.com/office/officeart/2005/8/colors/accent1_2#1" csCatId="accent1" phldr="1"/>
      <dgm:spPr/>
      <dgm:t>
        <a:bodyPr/>
        <a:lstStyle/>
        <a:p>
          <a:endParaRPr lang="zh-CN" altLang="en-US"/>
        </a:p>
      </dgm:t>
    </dgm:pt>
    <dgm:pt modelId="{EDF585A1-8897-4B52-8BAA-00EDDB94EAD5}">
      <dgm:prSet phldrT="[文本]" custT="1"/>
      <dgm:spPr>
        <a:xfrm>
          <a:off x="227773" y="543725"/>
          <a:ext cx="5020226" cy="72844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CN" altLang="en-US" sz="800">
              <a:solidFill>
                <a:sysClr val="windowText" lastClr="000000">
                  <a:hueOff val="0"/>
                  <a:satOff val="0"/>
                  <a:lumOff val="0"/>
                  <a:alphaOff val="0"/>
                </a:sysClr>
              </a:solidFill>
              <a:latin typeface="Calibri" panose="020F0502020204030204"/>
              <a:ea typeface="宋体" panose="02010600030101010101" charset="-122"/>
              <a:cs typeface="+mn-cs"/>
            </a:rPr>
            <a:t>􀴭􁇦􂞔􀴭􁇦􂞔􂸯􁆹􀞘􂴁􁈏􁉰</a:t>
          </a:r>
        </a:p>
        <a:p>
          <a:r>
            <a:rPr lang="zh-CN" altLang="en-US" sz="1800">
              <a:solidFill>
                <a:sysClr val="windowText" lastClr="000000">
                  <a:hueOff val="0"/>
                  <a:satOff val="0"/>
                  <a:lumOff val="0"/>
                  <a:alphaOff val="0"/>
                </a:sysClr>
              </a:solidFill>
              <a:latin typeface="Calibri" panose="020F0502020204030204"/>
              <a:ea typeface="宋体" panose="02010600030101010101" charset="-122"/>
              <a:cs typeface="+mn-cs"/>
            </a:rPr>
            <a:t>重庆煤矿安全监察局部门决算</a:t>
          </a:r>
          <a:r>
            <a:rPr lang="zh-CN" altLang="en-US" sz="800">
              <a:solidFill>
                <a:sysClr val="windowText" lastClr="000000">
                  <a:hueOff val="0"/>
                  <a:satOff val="0"/>
                  <a:lumOff val="0"/>
                  <a:alphaOff val="0"/>
                </a:sysClr>
              </a:solidFill>
              <a:latin typeface="Calibri" panose="020F0502020204030204"/>
              <a:ea typeface="宋体" panose="02010600030101010101" charset="-122"/>
              <a:cs typeface="+mn-cs"/>
            </a:rPr>
            <a:t>􁆹􀞘􂴁􁈏􁉰</a:t>
          </a:r>
        </a:p>
        <a:p>
          <a:r>
            <a:rPr lang="zh-CN" altLang="en-US" sz="800">
              <a:solidFill>
                <a:sysClr val="windowText" lastClr="000000">
                  <a:hueOff val="0"/>
                  <a:satOff val="0"/>
                  <a:lumOff val="0"/>
                  <a:alphaOff val="0"/>
                </a:sysClr>
              </a:solidFill>
              <a:latin typeface="Calibri" panose="020F0502020204030204"/>
              <a:ea typeface="宋体" panose="02010600030101010101" charset="-122"/>
              <a:cs typeface="+mn-cs"/>
            </a:rPr>
            <a:t>􄜘􄰘􄺴􃇇</a:t>
          </a:r>
        </a:p>
      </dgm:t>
    </dgm:pt>
    <dgm:pt modelId="{D7105F99-FDCE-401E-973A-0352FDD1868C}" type="parTrans" cxnId="{83830964-BF81-421E-80B2-A9201672F620}">
      <dgm:prSet/>
      <dgm:spPr/>
      <dgm:t>
        <a:bodyPr/>
        <a:lstStyle/>
        <a:p>
          <a:endParaRPr lang="zh-CN" altLang="en-US"/>
        </a:p>
      </dgm:t>
    </dgm:pt>
    <dgm:pt modelId="{DCF3161F-74BC-4887-BFA0-02AB879E7E8B}" type="sibTrans" cxnId="{83830964-BF81-421E-80B2-A9201672F620}">
      <dgm:prSet/>
      <dgm:spPr/>
      <dgm:t>
        <a:bodyPr/>
        <a:lstStyle/>
        <a:p>
          <a:endParaRPr lang="zh-CN" altLang="en-US"/>
        </a:p>
      </dgm:t>
    </dgm:pt>
    <dgm:pt modelId="{1566EF45-283D-4BD5-BD35-FB9EC96BCED5}">
      <dgm:prSet phldrT="[文本]" custT="1"/>
      <dgm:spPr>
        <a:xfrm>
          <a:off x="557884" y="1849180"/>
          <a:ext cx="2030343" cy="81020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zh-CN" altLang="en-US" sz="1400">
              <a:solidFill>
                <a:sysClr val="windowText" lastClr="000000">
                  <a:hueOff val="0"/>
                  <a:satOff val="0"/>
                  <a:lumOff val="0"/>
                  <a:alphaOff val="0"/>
                </a:sysClr>
              </a:solidFill>
              <a:latin typeface="Calibri" panose="020F0502020204030204"/>
              <a:ea typeface="宋体" panose="02010600030101010101" charset="-122"/>
              <a:cs typeface="+mn-cs"/>
            </a:rPr>
            <a:t>重庆煤矿安全监察局本级及分局决算</a:t>
          </a:r>
          <a:endParaRPr lang="zh-CN" altLang="en-US" sz="1600">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833B7480-D30A-485F-942D-495874690ABB}" type="parTrans" cxnId="{1BEABD17-0754-4D6B-A29E-7A383C9C2393}">
      <dgm:prSet/>
      <dgm:spPr>
        <a:xfrm>
          <a:off x="1347462" y="1057861"/>
          <a:ext cx="1164830" cy="577005"/>
        </a:xfrm>
        <a:noFill/>
        <a:ln w="12700" cap="flat" cmpd="sng" algn="ctr">
          <a:solidFill>
            <a:srgbClr val="5B9BD5">
              <a:shade val="60000"/>
              <a:hueOff val="0"/>
              <a:satOff val="0"/>
              <a:lumOff val="0"/>
              <a:alphaOff val="0"/>
            </a:srgbClr>
          </a:solidFill>
          <a:prstDash val="solid"/>
          <a:miter lim="800000"/>
        </a:ln>
        <a:effectLst/>
      </dgm:spPr>
      <dgm:t>
        <a:bodyPr/>
        <a:lstStyle/>
        <a:p>
          <a:endParaRPr lang="zh-CN" altLang="en-US"/>
        </a:p>
      </dgm:t>
    </dgm:pt>
    <dgm:pt modelId="{92CE05BC-DF10-490B-9526-087402ED0D51}" type="sibTrans" cxnId="{1BEABD17-0754-4D6B-A29E-7A383C9C2393}">
      <dgm:prSet/>
      <dgm:spPr/>
      <dgm:t>
        <a:bodyPr/>
        <a:lstStyle/>
        <a:p>
          <a:endParaRPr lang="zh-CN" altLang="en-US"/>
        </a:p>
      </dgm:t>
    </dgm:pt>
    <dgm:pt modelId="{2ED361E4-1B7F-4E8E-A64B-9387C8D46287}">
      <dgm:prSet custT="1"/>
      <dgm:spPr>
        <a:xfrm>
          <a:off x="2931563" y="1862666"/>
          <a:ext cx="2094177" cy="737512"/>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zh-CN" altLang="en-US" sz="1400">
              <a:solidFill>
                <a:sysClr val="windowText" lastClr="000000">
                  <a:hueOff val="0"/>
                  <a:satOff val="0"/>
                  <a:lumOff val="0"/>
                  <a:alphaOff val="0"/>
                </a:sysClr>
              </a:solidFill>
              <a:latin typeface="Calibri" panose="020F0502020204030204"/>
              <a:ea typeface="宋体" panose="02010600030101010101" charset="-122"/>
              <a:cs typeface="+mn-cs"/>
            </a:rPr>
            <a:t>所属事业单位决算􂴁􁈏􁉰</a:t>
          </a:r>
        </a:p>
      </dgm:t>
    </dgm:pt>
    <dgm:pt modelId="{8715EFAF-6788-4EC5-B926-500CD398E810}" type="parTrans" cxnId="{8B3A2C08-CE4F-4BFF-98FB-87BB9F7BDF45}">
      <dgm:prSet/>
      <dgm:spPr>
        <a:xfrm>
          <a:off x="2512293" y="1057861"/>
          <a:ext cx="1240765" cy="590491"/>
        </a:xfrm>
        <a:noFill/>
        <a:ln w="12700" cap="flat" cmpd="sng" algn="ctr">
          <a:solidFill>
            <a:srgbClr val="5B9BD5">
              <a:shade val="60000"/>
              <a:hueOff val="0"/>
              <a:satOff val="0"/>
              <a:lumOff val="0"/>
              <a:alphaOff val="0"/>
            </a:srgbClr>
          </a:solidFill>
          <a:prstDash val="solid"/>
          <a:miter lim="800000"/>
        </a:ln>
        <a:effectLst/>
      </dgm:spPr>
      <dgm:t>
        <a:bodyPr/>
        <a:lstStyle/>
        <a:p>
          <a:endParaRPr lang="zh-CN" altLang="en-US"/>
        </a:p>
      </dgm:t>
    </dgm:pt>
    <dgm:pt modelId="{753C91C9-9FCD-4B08-BD47-24A13D152561}" type="sibTrans" cxnId="{8B3A2C08-CE4F-4BFF-98FB-87BB9F7BDF45}">
      <dgm:prSet/>
      <dgm:spPr/>
      <dgm:t>
        <a:bodyPr/>
        <a:lstStyle/>
        <a:p>
          <a:endParaRPr lang="zh-CN" altLang="en-US"/>
        </a:p>
      </dgm:t>
    </dgm:pt>
    <dgm:pt modelId="{689111B9-5AE6-48BB-A633-ED410A52C023}" type="pres">
      <dgm:prSet presAssocID="{494AE5B7-422B-4E41-9363-9F73C94DD595}" presName="hierChild1" presStyleCnt="0">
        <dgm:presLayoutVars>
          <dgm:chPref val="1"/>
          <dgm:dir/>
          <dgm:animOne val="branch"/>
          <dgm:animLvl val="lvl"/>
          <dgm:resizeHandles/>
        </dgm:presLayoutVars>
      </dgm:prSet>
      <dgm:spPr/>
      <dgm:t>
        <a:bodyPr/>
        <a:lstStyle/>
        <a:p>
          <a:endParaRPr lang="zh-CN" altLang="en-US"/>
        </a:p>
      </dgm:t>
    </dgm:pt>
    <dgm:pt modelId="{F3F49E3B-C5D6-4FBC-8B7A-F5E54403F8C8}" type="pres">
      <dgm:prSet presAssocID="{EDF585A1-8897-4B52-8BAA-00EDDB94EAD5}" presName="hierRoot1" presStyleCnt="0"/>
      <dgm:spPr/>
    </dgm:pt>
    <dgm:pt modelId="{F2E4870A-459A-4BBF-A0EA-532631E935C0}" type="pres">
      <dgm:prSet presAssocID="{EDF585A1-8897-4B52-8BAA-00EDDB94EAD5}" presName="composite" presStyleCnt="0"/>
      <dgm:spPr/>
    </dgm:pt>
    <dgm:pt modelId="{0A6008D4-BBEF-47FC-8FFC-1E563B2A38A3}" type="pres">
      <dgm:prSet presAssocID="{EDF585A1-8897-4B52-8BAA-00EDDB94EAD5}" presName="background" presStyleLbl="node0" presStyleIdx="0" presStyleCnt="1"/>
      <dgm:spPr>
        <a:xfrm>
          <a:off x="2180" y="329411"/>
          <a:ext cx="5020226" cy="72844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zh-CN" altLang="en-US"/>
        </a:p>
      </dgm:t>
    </dgm:pt>
    <dgm:pt modelId="{67FA27D1-3C27-43A6-B28F-C81619FA13C4}" type="pres">
      <dgm:prSet presAssocID="{EDF585A1-8897-4B52-8BAA-00EDDB94EAD5}" presName="text" presStyleLbl="fgAcc0" presStyleIdx="0" presStyleCnt="1" custScaleX="247260" custScaleY="56501">
        <dgm:presLayoutVars>
          <dgm:chPref val="3"/>
        </dgm:presLayoutVars>
      </dgm:prSet>
      <dgm:spPr>
        <a:prstGeom prst="roundRect">
          <a:avLst>
            <a:gd name="adj" fmla="val 10000"/>
          </a:avLst>
        </a:prstGeom>
      </dgm:spPr>
      <dgm:t>
        <a:bodyPr/>
        <a:lstStyle/>
        <a:p>
          <a:endParaRPr lang="zh-CN" altLang="en-US"/>
        </a:p>
      </dgm:t>
    </dgm:pt>
    <dgm:pt modelId="{64AE70C7-4E61-472B-8EB4-A16A1B1C7AFF}" type="pres">
      <dgm:prSet presAssocID="{EDF585A1-8897-4B52-8BAA-00EDDB94EAD5}" presName="hierChild2" presStyleCnt="0"/>
      <dgm:spPr/>
    </dgm:pt>
    <dgm:pt modelId="{EADB3D4E-342F-4A82-B590-AE4CBF3F8D01}" type="pres">
      <dgm:prSet presAssocID="{833B7480-D30A-485F-942D-495874690ABB}" presName="Name10" presStyleLbl="parChTrans1D2" presStyleIdx="0" presStyleCnt="2"/>
      <dgm:spPr>
        <a:custGeom>
          <a:avLst/>
          <a:gdLst/>
          <a:ahLst/>
          <a:cxnLst/>
          <a:rect l="0" t="0" r="0" b="0"/>
          <a:pathLst>
            <a:path>
              <a:moveTo>
                <a:pt x="1164830" y="0"/>
              </a:moveTo>
              <a:lnTo>
                <a:pt x="1164830" y="388916"/>
              </a:lnTo>
              <a:lnTo>
                <a:pt x="0" y="388916"/>
              </a:lnTo>
              <a:lnTo>
                <a:pt x="0" y="577005"/>
              </a:lnTo>
            </a:path>
          </a:pathLst>
        </a:custGeom>
      </dgm:spPr>
      <dgm:t>
        <a:bodyPr/>
        <a:lstStyle/>
        <a:p>
          <a:endParaRPr lang="zh-CN" altLang="en-US"/>
        </a:p>
      </dgm:t>
    </dgm:pt>
    <dgm:pt modelId="{E7AE7E4D-E41D-467D-BAB6-3258BB7C3488}" type="pres">
      <dgm:prSet presAssocID="{1566EF45-283D-4BD5-BD35-FB9EC96BCED5}" presName="hierRoot2" presStyleCnt="0"/>
      <dgm:spPr/>
    </dgm:pt>
    <dgm:pt modelId="{245EA2CA-2300-47D7-AE08-F71A8ED9CF89}" type="pres">
      <dgm:prSet presAssocID="{1566EF45-283D-4BD5-BD35-FB9EC96BCED5}" presName="composite2" presStyleCnt="0"/>
      <dgm:spPr/>
    </dgm:pt>
    <dgm:pt modelId="{1BA44F5A-D787-4FB0-BBA0-760B6488A026}" type="pres">
      <dgm:prSet presAssocID="{1566EF45-283D-4BD5-BD35-FB9EC96BCED5}" presName="background2" presStyleLbl="node2" presStyleIdx="0" presStyleCnt="2"/>
      <dgm:spPr>
        <a:xfrm>
          <a:off x="332291" y="1634866"/>
          <a:ext cx="2030343" cy="8102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zh-CN" altLang="en-US"/>
        </a:p>
      </dgm:t>
    </dgm:pt>
    <dgm:pt modelId="{449D2E2F-1210-4265-93FD-F0C864D0CC41}" type="pres">
      <dgm:prSet presAssocID="{1566EF45-283D-4BD5-BD35-FB9EC96BCED5}" presName="text2" presStyleLbl="fgAcc2" presStyleIdx="0" presStyleCnt="2" custScaleY="62842" custLinFactNeighborX="5312" custLinFactNeighborY="-1046">
        <dgm:presLayoutVars>
          <dgm:chPref val="3"/>
        </dgm:presLayoutVars>
      </dgm:prSet>
      <dgm:spPr>
        <a:prstGeom prst="roundRect">
          <a:avLst>
            <a:gd name="adj" fmla="val 10000"/>
          </a:avLst>
        </a:prstGeom>
      </dgm:spPr>
      <dgm:t>
        <a:bodyPr/>
        <a:lstStyle/>
        <a:p>
          <a:endParaRPr lang="zh-CN" altLang="en-US"/>
        </a:p>
      </dgm:t>
    </dgm:pt>
    <dgm:pt modelId="{287DAE9E-59AE-4F4A-AB56-950996774EA5}" type="pres">
      <dgm:prSet presAssocID="{1566EF45-283D-4BD5-BD35-FB9EC96BCED5}" presName="hierChild3" presStyleCnt="0"/>
      <dgm:spPr/>
    </dgm:pt>
    <dgm:pt modelId="{39BCED41-37CA-4E44-AA3E-965B48880603}" type="pres">
      <dgm:prSet presAssocID="{8715EFAF-6788-4EC5-B926-500CD398E810}" presName="Name10" presStyleLbl="parChTrans1D2" presStyleIdx="1" presStyleCnt="2"/>
      <dgm:spPr>
        <a:custGeom>
          <a:avLst/>
          <a:gdLst/>
          <a:ahLst/>
          <a:cxnLst/>
          <a:rect l="0" t="0" r="0" b="0"/>
          <a:pathLst>
            <a:path>
              <a:moveTo>
                <a:pt x="0" y="0"/>
              </a:moveTo>
              <a:lnTo>
                <a:pt x="0" y="402402"/>
              </a:lnTo>
              <a:lnTo>
                <a:pt x="1240765" y="402402"/>
              </a:lnTo>
              <a:lnTo>
                <a:pt x="1240765" y="590491"/>
              </a:lnTo>
            </a:path>
          </a:pathLst>
        </a:custGeom>
      </dgm:spPr>
      <dgm:t>
        <a:bodyPr/>
        <a:lstStyle/>
        <a:p>
          <a:endParaRPr lang="zh-CN" altLang="en-US"/>
        </a:p>
      </dgm:t>
    </dgm:pt>
    <dgm:pt modelId="{9B812FED-AAC7-4481-80EA-92D9E4ADD2FC}" type="pres">
      <dgm:prSet presAssocID="{2ED361E4-1B7F-4E8E-A64B-9387C8D46287}" presName="hierRoot2" presStyleCnt="0"/>
      <dgm:spPr/>
    </dgm:pt>
    <dgm:pt modelId="{44376CF0-9367-4FE4-A410-6E45D73D3A21}" type="pres">
      <dgm:prSet presAssocID="{2ED361E4-1B7F-4E8E-A64B-9387C8D46287}" presName="composite2" presStyleCnt="0"/>
      <dgm:spPr/>
    </dgm:pt>
    <dgm:pt modelId="{DB5BBEC1-2840-40C9-8DB5-8DD0021DA5C7}" type="pres">
      <dgm:prSet presAssocID="{2ED361E4-1B7F-4E8E-A64B-9387C8D46287}" presName="background2" presStyleLbl="node2" presStyleIdx="1" presStyleCnt="2"/>
      <dgm:spPr>
        <a:xfrm>
          <a:off x="2705969" y="1648352"/>
          <a:ext cx="2094177" cy="73751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zh-CN" altLang="en-US"/>
        </a:p>
      </dgm:t>
    </dgm:pt>
    <dgm:pt modelId="{49ED340B-61DF-430D-A2EA-95DC3028D2EE}" type="pres">
      <dgm:prSet presAssocID="{2ED361E4-1B7F-4E8E-A64B-9387C8D46287}" presName="text2" presStyleLbl="fgAcc2" presStyleIdx="1" presStyleCnt="2" custScaleX="103143" custScaleY="57204">
        <dgm:presLayoutVars>
          <dgm:chPref val="3"/>
        </dgm:presLayoutVars>
      </dgm:prSet>
      <dgm:spPr>
        <a:prstGeom prst="roundRect">
          <a:avLst>
            <a:gd name="adj" fmla="val 10000"/>
          </a:avLst>
        </a:prstGeom>
      </dgm:spPr>
      <dgm:t>
        <a:bodyPr/>
        <a:lstStyle/>
        <a:p>
          <a:endParaRPr lang="zh-CN" altLang="en-US"/>
        </a:p>
      </dgm:t>
    </dgm:pt>
    <dgm:pt modelId="{2AFA8A84-2F4B-4447-83C2-A08D78307222}" type="pres">
      <dgm:prSet presAssocID="{2ED361E4-1B7F-4E8E-A64B-9387C8D46287}" presName="hierChild3" presStyleCnt="0"/>
      <dgm:spPr/>
    </dgm:pt>
  </dgm:ptLst>
  <dgm:cxnLst>
    <dgm:cxn modelId="{1763312C-A476-4079-8A25-79075BB7216A}" type="presOf" srcId="{8715EFAF-6788-4EC5-B926-500CD398E810}" destId="{39BCED41-37CA-4E44-AA3E-965B48880603}" srcOrd="0" destOrd="0" presId="urn:microsoft.com/office/officeart/2005/8/layout/hierarchy1#1"/>
    <dgm:cxn modelId="{7A0C2C6A-1963-45DF-B641-9D4F53C5975D}" type="presOf" srcId="{EDF585A1-8897-4B52-8BAA-00EDDB94EAD5}" destId="{67FA27D1-3C27-43A6-B28F-C81619FA13C4}" srcOrd="0" destOrd="0" presId="urn:microsoft.com/office/officeart/2005/8/layout/hierarchy1#1"/>
    <dgm:cxn modelId="{83830964-BF81-421E-80B2-A9201672F620}" srcId="{494AE5B7-422B-4E41-9363-9F73C94DD595}" destId="{EDF585A1-8897-4B52-8BAA-00EDDB94EAD5}" srcOrd="0" destOrd="0" parTransId="{D7105F99-FDCE-401E-973A-0352FDD1868C}" sibTransId="{DCF3161F-74BC-4887-BFA0-02AB879E7E8B}"/>
    <dgm:cxn modelId="{AFB7BBBC-48FF-4ACF-9937-CCD21162B487}" type="presOf" srcId="{833B7480-D30A-485F-942D-495874690ABB}" destId="{EADB3D4E-342F-4A82-B590-AE4CBF3F8D01}" srcOrd="0" destOrd="0" presId="urn:microsoft.com/office/officeart/2005/8/layout/hierarchy1#1"/>
    <dgm:cxn modelId="{D4FA9FEC-5737-45ED-A7AC-1EA312C89E1E}" type="presOf" srcId="{1566EF45-283D-4BD5-BD35-FB9EC96BCED5}" destId="{449D2E2F-1210-4265-93FD-F0C864D0CC41}" srcOrd="0" destOrd="0" presId="urn:microsoft.com/office/officeart/2005/8/layout/hierarchy1#1"/>
    <dgm:cxn modelId="{298649DE-5C3B-495F-A4C1-B553B4905D98}" type="presOf" srcId="{494AE5B7-422B-4E41-9363-9F73C94DD595}" destId="{689111B9-5AE6-48BB-A633-ED410A52C023}" srcOrd="0" destOrd="0" presId="urn:microsoft.com/office/officeart/2005/8/layout/hierarchy1#1"/>
    <dgm:cxn modelId="{A5100EB8-B747-4822-82BD-3018E806C1F0}" type="presOf" srcId="{2ED361E4-1B7F-4E8E-A64B-9387C8D46287}" destId="{49ED340B-61DF-430D-A2EA-95DC3028D2EE}" srcOrd="0" destOrd="0" presId="urn:microsoft.com/office/officeart/2005/8/layout/hierarchy1#1"/>
    <dgm:cxn modelId="{1BEABD17-0754-4D6B-A29E-7A383C9C2393}" srcId="{EDF585A1-8897-4B52-8BAA-00EDDB94EAD5}" destId="{1566EF45-283D-4BD5-BD35-FB9EC96BCED5}" srcOrd="0" destOrd="0" parTransId="{833B7480-D30A-485F-942D-495874690ABB}" sibTransId="{92CE05BC-DF10-490B-9526-087402ED0D51}"/>
    <dgm:cxn modelId="{8B3A2C08-CE4F-4BFF-98FB-87BB9F7BDF45}" srcId="{EDF585A1-8897-4B52-8BAA-00EDDB94EAD5}" destId="{2ED361E4-1B7F-4E8E-A64B-9387C8D46287}" srcOrd="1" destOrd="0" parTransId="{8715EFAF-6788-4EC5-B926-500CD398E810}" sibTransId="{753C91C9-9FCD-4B08-BD47-24A13D152561}"/>
    <dgm:cxn modelId="{5322DF08-0EFD-4990-9544-FCC638D36BDC}" type="presParOf" srcId="{689111B9-5AE6-48BB-A633-ED410A52C023}" destId="{F3F49E3B-C5D6-4FBC-8B7A-F5E54403F8C8}" srcOrd="0" destOrd="0" presId="urn:microsoft.com/office/officeart/2005/8/layout/hierarchy1#1"/>
    <dgm:cxn modelId="{279DE385-5FEC-41F4-8208-80F3FFB2AF3D}" type="presParOf" srcId="{F3F49E3B-C5D6-4FBC-8B7A-F5E54403F8C8}" destId="{F2E4870A-459A-4BBF-A0EA-532631E935C0}" srcOrd="0" destOrd="0" presId="urn:microsoft.com/office/officeart/2005/8/layout/hierarchy1#1"/>
    <dgm:cxn modelId="{4D555BE9-B16B-4962-9463-F5358CBBAEC3}" type="presParOf" srcId="{F2E4870A-459A-4BBF-A0EA-532631E935C0}" destId="{0A6008D4-BBEF-47FC-8FFC-1E563B2A38A3}" srcOrd="0" destOrd="0" presId="urn:microsoft.com/office/officeart/2005/8/layout/hierarchy1#1"/>
    <dgm:cxn modelId="{74634A16-09BC-49EE-8EEE-5A5B91CFF7F4}" type="presParOf" srcId="{F2E4870A-459A-4BBF-A0EA-532631E935C0}" destId="{67FA27D1-3C27-43A6-B28F-C81619FA13C4}" srcOrd="1" destOrd="0" presId="urn:microsoft.com/office/officeart/2005/8/layout/hierarchy1#1"/>
    <dgm:cxn modelId="{CDD6C5E3-3343-431E-ACAB-A6DAD115ECED}" type="presParOf" srcId="{F3F49E3B-C5D6-4FBC-8B7A-F5E54403F8C8}" destId="{64AE70C7-4E61-472B-8EB4-A16A1B1C7AFF}" srcOrd="1" destOrd="0" presId="urn:microsoft.com/office/officeart/2005/8/layout/hierarchy1#1"/>
    <dgm:cxn modelId="{2EC0F2BC-48CE-42D5-A45F-135D99FCB0FE}" type="presParOf" srcId="{64AE70C7-4E61-472B-8EB4-A16A1B1C7AFF}" destId="{EADB3D4E-342F-4A82-B590-AE4CBF3F8D01}" srcOrd="0" destOrd="0" presId="urn:microsoft.com/office/officeart/2005/8/layout/hierarchy1#1"/>
    <dgm:cxn modelId="{AFC633F3-2791-471D-8BAE-5D588D12472A}" type="presParOf" srcId="{64AE70C7-4E61-472B-8EB4-A16A1B1C7AFF}" destId="{E7AE7E4D-E41D-467D-BAB6-3258BB7C3488}" srcOrd="1" destOrd="0" presId="urn:microsoft.com/office/officeart/2005/8/layout/hierarchy1#1"/>
    <dgm:cxn modelId="{036AC484-6965-4990-AFAF-8FC3C0349591}" type="presParOf" srcId="{E7AE7E4D-E41D-467D-BAB6-3258BB7C3488}" destId="{245EA2CA-2300-47D7-AE08-F71A8ED9CF89}" srcOrd="0" destOrd="0" presId="urn:microsoft.com/office/officeart/2005/8/layout/hierarchy1#1"/>
    <dgm:cxn modelId="{D4F8E0F2-BA7E-4920-AF0F-A39D970A93E5}" type="presParOf" srcId="{245EA2CA-2300-47D7-AE08-F71A8ED9CF89}" destId="{1BA44F5A-D787-4FB0-BBA0-760B6488A026}" srcOrd="0" destOrd="0" presId="urn:microsoft.com/office/officeart/2005/8/layout/hierarchy1#1"/>
    <dgm:cxn modelId="{996D3F98-200D-43B3-924A-40163D0FFDE6}" type="presParOf" srcId="{245EA2CA-2300-47D7-AE08-F71A8ED9CF89}" destId="{449D2E2F-1210-4265-93FD-F0C864D0CC41}" srcOrd="1" destOrd="0" presId="urn:microsoft.com/office/officeart/2005/8/layout/hierarchy1#1"/>
    <dgm:cxn modelId="{44877E3F-C19E-43BD-9B20-3F187B6B65E4}" type="presParOf" srcId="{E7AE7E4D-E41D-467D-BAB6-3258BB7C3488}" destId="{287DAE9E-59AE-4F4A-AB56-950996774EA5}" srcOrd="1" destOrd="0" presId="urn:microsoft.com/office/officeart/2005/8/layout/hierarchy1#1"/>
    <dgm:cxn modelId="{FA5E3E2E-A2EC-46E5-B67D-557C8EEEADA8}" type="presParOf" srcId="{64AE70C7-4E61-472B-8EB4-A16A1B1C7AFF}" destId="{39BCED41-37CA-4E44-AA3E-965B48880603}" srcOrd="2" destOrd="0" presId="urn:microsoft.com/office/officeart/2005/8/layout/hierarchy1#1"/>
    <dgm:cxn modelId="{6E9DFDBE-56BB-4E48-BC9C-219BA0136E24}" type="presParOf" srcId="{64AE70C7-4E61-472B-8EB4-A16A1B1C7AFF}" destId="{9B812FED-AAC7-4481-80EA-92D9E4ADD2FC}" srcOrd="3" destOrd="0" presId="urn:microsoft.com/office/officeart/2005/8/layout/hierarchy1#1"/>
    <dgm:cxn modelId="{64122198-FD95-4CAB-BB55-5A0122785CB5}" type="presParOf" srcId="{9B812FED-AAC7-4481-80EA-92D9E4ADD2FC}" destId="{44376CF0-9367-4FE4-A410-6E45D73D3A21}" srcOrd="0" destOrd="0" presId="urn:microsoft.com/office/officeart/2005/8/layout/hierarchy1#1"/>
    <dgm:cxn modelId="{D80C63D9-B27F-4C78-8DF0-B3701FCC6B1D}" type="presParOf" srcId="{44376CF0-9367-4FE4-A410-6E45D73D3A21}" destId="{DB5BBEC1-2840-40C9-8DB5-8DD0021DA5C7}" srcOrd="0" destOrd="0" presId="urn:microsoft.com/office/officeart/2005/8/layout/hierarchy1#1"/>
    <dgm:cxn modelId="{97F7C89A-81A4-438E-BB7D-CB27C25D07FF}" type="presParOf" srcId="{44376CF0-9367-4FE4-A410-6E45D73D3A21}" destId="{49ED340B-61DF-430D-A2EA-95DC3028D2EE}" srcOrd="1" destOrd="0" presId="urn:microsoft.com/office/officeart/2005/8/layout/hierarchy1#1"/>
    <dgm:cxn modelId="{B7B45F92-EEBA-4C63-A79D-43343DED48FB}" type="presParOf" srcId="{9B812FED-AAC7-4481-80EA-92D9E4ADD2FC}" destId="{2AFA8A84-2F4B-4447-83C2-A08D78307222}" srcOrd="1" destOrd="0" presId="urn:microsoft.com/office/officeart/2005/8/layout/hierarchy1#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BCED41-37CA-4E44-AA3E-965B48880603}">
      <dsp:nvSpPr>
        <dsp:cNvPr id="0" name=""/>
        <dsp:cNvSpPr/>
      </dsp:nvSpPr>
      <dsp:spPr>
        <a:xfrm>
          <a:off x="2512293" y="1057861"/>
          <a:ext cx="1240765" cy="590491"/>
        </a:xfrm>
        <a:custGeom>
          <a:avLst/>
          <a:gdLst/>
          <a:ahLst/>
          <a:cxnLst/>
          <a:rect l="0" t="0" r="0" b="0"/>
          <a:pathLst>
            <a:path>
              <a:moveTo>
                <a:pt x="0" y="0"/>
              </a:moveTo>
              <a:lnTo>
                <a:pt x="0" y="402402"/>
              </a:lnTo>
              <a:lnTo>
                <a:pt x="1240765" y="402402"/>
              </a:lnTo>
              <a:lnTo>
                <a:pt x="1240765" y="59049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ADB3D4E-342F-4A82-B590-AE4CBF3F8D01}">
      <dsp:nvSpPr>
        <dsp:cNvPr id="0" name=""/>
        <dsp:cNvSpPr/>
      </dsp:nvSpPr>
      <dsp:spPr>
        <a:xfrm>
          <a:off x="1347472" y="1057861"/>
          <a:ext cx="1164820" cy="577005"/>
        </a:xfrm>
        <a:custGeom>
          <a:avLst/>
          <a:gdLst/>
          <a:ahLst/>
          <a:cxnLst/>
          <a:rect l="0" t="0" r="0" b="0"/>
          <a:pathLst>
            <a:path>
              <a:moveTo>
                <a:pt x="1164830" y="0"/>
              </a:moveTo>
              <a:lnTo>
                <a:pt x="1164830" y="388916"/>
              </a:lnTo>
              <a:lnTo>
                <a:pt x="0" y="388916"/>
              </a:lnTo>
              <a:lnTo>
                <a:pt x="0" y="57700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6008D4-BBEF-47FC-8FFC-1E563B2A38A3}">
      <dsp:nvSpPr>
        <dsp:cNvPr id="0" name=""/>
        <dsp:cNvSpPr/>
      </dsp:nvSpPr>
      <dsp:spPr>
        <a:xfrm>
          <a:off x="2180" y="329411"/>
          <a:ext cx="5020226" cy="72844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FA27D1-3C27-43A6-B28F-C81619FA13C4}">
      <dsp:nvSpPr>
        <dsp:cNvPr id="0" name=""/>
        <dsp:cNvSpPr/>
      </dsp:nvSpPr>
      <dsp:spPr>
        <a:xfrm>
          <a:off x="227773" y="543725"/>
          <a:ext cx="5020226" cy="72844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zh-CN" altLang="en-US" sz="800" kern="1200">
              <a:solidFill>
                <a:sysClr val="windowText" lastClr="000000">
                  <a:hueOff val="0"/>
                  <a:satOff val="0"/>
                  <a:lumOff val="0"/>
                  <a:alphaOff val="0"/>
                </a:sysClr>
              </a:solidFill>
              <a:latin typeface="Calibri" panose="020F0502020204030204"/>
              <a:ea typeface="宋体" panose="02010600030101010101" charset="-122"/>
              <a:cs typeface="+mn-cs"/>
            </a:rPr>
            <a:t>􀴭􁇦􂞔􀴭􁇦􂞔􂸯􁆹􀞘􂴁􁈏􁉰</a:t>
          </a:r>
        </a:p>
        <a:p>
          <a:pPr lvl="0" algn="ctr" defTabSz="355600">
            <a:lnSpc>
              <a:spcPct val="90000"/>
            </a:lnSpc>
            <a:spcBef>
              <a:spcPct val="0"/>
            </a:spcBef>
            <a:spcAft>
              <a:spcPct val="35000"/>
            </a:spcAft>
          </a:pPr>
          <a:r>
            <a:rPr lang="zh-CN" altLang="en-US" sz="1800" kern="1200">
              <a:solidFill>
                <a:sysClr val="windowText" lastClr="000000">
                  <a:hueOff val="0"/>
                  <a:satOff val="0"/>
                  <a:lumOff val="0"/>
                  <a:alphaOff val="0"/>
                </a:sysClr>
              </a:solidFill>
              <a:latin typeface="Calibri" panose="020F0502020204030204"/>
              <a:ea typeface="宋体" panose="02010600030101010101" charset="-122"/>
              <a:cs typeface="+mn-cs"/>
            </a:rPr>
            <a:t>重庆煤矿安全监察局部门决算</a:t>
          </a:r>
          <a:r>
            <a:rPr lang="zh-CN" altLang="en-US" sz="800" kern="1200">
              <a:solidFill>
                <a:sysClr val="windowText" lastClr="000000">
                  <a:hueOff val="0"/>
                  <a:satOff val="0"/>
                  <a:lumOff val="0"/>
                  <a:alphaOff val="0"/>
                </a:sysClr>
              </a:solidFill>
              <a:latin typeface="Calibri" panose="020F0502020204030204"/>
              <a:ea typeface="宋体" panose="02010600030101010101" charset="-122"/>
              <a:cs typeface="+mn-cs"/>
            </a:rPr>
            <a:t>􁆹􀞘􂴁􁈏􁉰</a:t>
          </a:r>
        </a:p>
        <a:p>
          <a:pPr lvl="0" algn="ctr" defTabSz="355600">
            <a:lnSpc>
              <a:spcPct val="90000"/>
            </a:lnSpc>
            <a:spcBef>
              <a:spcPct val="0"/>
            </a:spcBef>
            <a:spcAft>
              <a:spcPct val="35000"/>
            </a:spcAft>
          </a:pPr>
          <a:r>
            <a:rPr lang="zh-CN" altLang="en-US" sz="800" kern="1200">
              <a:solidFill>
                <a:sysClr val="windowText" lastClr="000000">
                  <a:hueOff val="0"/>
                  <a:satOff val="0"/>
                  <a:lumOff val="0"/>
                  <a:alphaOff val="0"/>
                </a:sysClr>
              </a:solidFill>
              <a:latin typeface="Calibri" panose="020F0502020204030204"/>
              <a:ea typeface="宋体" panose="02010600030101010101" charset="-122"/>
              <a:cs typeface="+mn-cs"/>
            </a:rPr>
            <a:t>􄜘􄰘􄺴􃇇</a:t>
          </a:r>
        </a:p>
      </dsp:txBody>
      <dsp:txXfrm>
        <a:off x="227773" y="543725"/>
        <a:ext cx="5020226" cy="728449"/>
      </dsp:txXfrm>
    </dsp:sp>
    <dsp:sp modelId="{1BA44F5A-D787-4FB0-BBA0-760B6488A026}">
      <dsp:nvSpPr>
        <dsp:cNvPr id="0" name=""/>
        <dsp:cNvSpPr/>
      </dsp:nvSpPr>
      <dsp:spPr>
        <a:xfrm>
          <a:off x="332301" y="1634866"/>
          <a:ext cx="2030343" cy="8102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9D2E2F-1210-4265-93FD-F0C864D0CC41}">
      <dsp:nvSpPr>
        <dsp:cNvPr id="0" name=""/>
        <dsp:cNvSpPr/>
      </dsp:nvSpPr>
      <dsp:spPr>
        <a:xfrm>
          <a:off x="557895" y="1849180"/>
          <a:ext cx="2030343" cy="81020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hueOff val="0"/>
                  <a:satOff val="0"/>
                  <a:lumOff val="0"/>
                  <a:alphaOff val="0"/>
                </a:sysClr>
              </a:solidFill>
              <a:latin typeface="Calibri" panose="020F0502020204030204"/>
              <a:ea typeface="宋体" panose="02010600030101010101" charset="-122"/>
              <a:cs typeface="+mn-cs"/>
            </a:rPr>
            <a:t>重庆煤矿安全监察局本级及分局决算</a:t>
          </a:r>
          <a:endParaRPr lang="zh-CN" altLang="en-US" sz="16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557895" y="1849180"/>
        <a:ext cx="2030343" cy="810201"/>
      </dsp:txXfrm>
    </dsp:sp>
    <dsp:sp modelId="{DB5BBEC1-2840-40C9-8DB5-8DD0021DA5C7}">
      <dsp:nvSpPr>
        <dsp:cNvPr id="0" name=""/>
        <dsp:cNvSpPr/>
      </dsp:nvSpPr>
      <dsp:spPr>
        <a:xfrm>
          <a:off x="2705979" y="1648352"/>
          <a:ext cx="2094156" cy="73751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ED340B-61DF-430D-A2EA-95DC3028D2EE}">
      <dsp:nvSpPr>
        <dsp:cNvPr id="0" name=""/>
        <dsp:cNvSpPr/>
      </dsp:nvSpPr>
      <dsp:spPr>
        <a:xfrm>
          <a:off x="2931573" y="1862666"/>
          <a:ext cx="2094156" cy="73751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hueOff val="0"/>
                  <a:satOff val="0"/>
                  <a:lumOff val="0"/>
                  <a:alphaOff val="0"/>
                </a:sysClr>
              </a:solidFill>
              <a:latin typeface="Calibri" panose="020F0502020204030204"/>
              <a:ea typeface="宋体" panose="02010600030101010101" charset="-122"/>
              <a:cs typeface="+mn-cs"/>
            </a:rPr>
            <a:t>所属事业单位决算􂴁􁈏􁉰</a:t>
          </a:r>
        </a:p>
      </dsp:txBody>
      <dsp:txXfrm>
        <a:off x="2931573" y="1862666"/>
        <a:ext cx="2094156" cy="737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王贵与安娜</dc:creator>
  <cp:lastModifiedBy>Administrator</cp:lastModifiedBy>
  <cp:revision>54</cp:revision>
  <cp:lastPrinted>2020-08-28T04:17:00Z</cp:lastPrinted>
  <dcterms:created xsi:type="dcterms:W3CDTF">2020-08-25T00:43:00Z</dcterms:created>
  <dcterms:modified xsi:type="dcterms:W3CDTF">2022-04-30T12:26:00Z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9D05C70A0C254B31AF3EEDC6DC5BEF94</vt:lpwstr>
  </property>
</Properties>
</file>